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15399" w:rsidRDefault="00013C24" w:rsidP="004103B8">
      <w:pPr>
        <w:jc w:val="center"/>
      </w:pPr>
      <w:r>
        <w:rPr>
          <w:noProof/>
        </w:rPr>
        <mc:AlternateContent>
          <mc:Choice Requires="wps">
            <w:drawing>
              <wp:anchor distT="0" distB="0" distL="114300" distR="114300" simplePos="0" relativeHeight="251661312" behindDoc="0" locked="0" layoutInCell="1" allowOverlap="1" wp14:anchorId="5E28F83E" wp14:editId="64C85576">
                <wp:simplePos x="0" y="0"/>
                <wp:positionH relativeFrom="column">
                  <wp:posOffset>0</wp:posOffset>
                </wp:positionH>
                <wp:positionV relativeFrom="paragraph">
                  <wp:posOffset>0</wp:posOffset>
                </wp:positionV>
                <wp:extent cx="6076950" cy="2133600"/>
                <wp:effectExtent l="0" t="0" r="19050" b="19050"/>
                <wp:wrapNone/>
                <wp:docPr id="1" name="TextBox 4"/>
                <wp:cNvGraphicFramePr/>
                <a:graphic xmlns:a="http://schemas.openxmlformats.org/drawingml/2006/main">
                  <a:graphicData uri="http://schemas.microsoft.com/office/word/2010/wordprocessingShape">
                    <wps:wsp>
                      <wps:cNvSpPr txBox="1"/>
                      <wps:spPr>
                        <a:xfrm>
                          <a:off x="0" y="0"/>
                          <a:ext cx="6076950" cy="2133600"/>
                        </a:xfrm>
                        <a:prstGeom prst="rect">
                          <a:avLst/>
                        </a:prstGeom>
                        <a:solidFill>
                          <a:schemeClr val="lt1"/>
                        </a:solidFill>
                        <a:ln w="19050" cmpd="sng">
                          <a:solidFill>
                            <a:srgbClr val="C00000"/>
                          </a:solidFill>
                        </a:ln>
                      </wps:spPr>
                      <wps:style>
                        <a:lnRef idx="0">
                          <a:scrgbClr r="0" g="0" b="0"/>
                        </a:lnRef>
                        <a:fillRef idx="0">
                          <a:scrgbClr r="0" g="0" b="0"/>
                        </a:fillRef>
                        <a:effectRef idx="0">
                          <a:scrgbClr r="0" g="0" b="0"/>
                        </a:effectRef>
                        <a:fontRef idx="minor">
                          <a:schemeClr val="dk1"/>
                        </a:fontRef>
                      </wps:style>
                      <wps:txbx>
                        <w:txbxContent>
                          <w:p w:rsidR="00013C24" w:rsidRDefault="00013C24" w:rsidP="00013C24">
                            <w:pPr>
                              <w:pStyle w:val="NormalWeb"/>
                              <w:spacing w:before="0" w:beforeAutospacing="0" w:after="0" w:afterAutospacing="0"/>
                            </w:pPr>
                            <w:r>
                              <w:rPr>
                                <w:rFonts w:asciiTheme="minorHAnsi" w:hAnsi="Calibri" w:cstheme="minorBidi"/>
                                <w:color w:val="C00000"/>
                                <w:sz w:val="28"/>
                                <w:szCs w:val="28"/>
                              </w:rPr>
                              <w:t>This tool and associated information and materials (including all content, functions, and data) are provided as-is, without warranties of any kind, either expressed or implied.  Materials are for convenience and academic inquiry.  WSDOT shall not be liable for your use of or inability to use the spreadsheet, materials or information under any circumstances.  Use of materials and tools on this website is at your own risk.  You assume full responsibility for use of information, communications, content, files or other materials accessed through this website.</w:t>
                            </w:r>
                          </w:p>
                        </w:txbxContent>
                      </wps:txbx>
                      <wps:bodyPr vertOverflow="overflow" horzOverflow="overflow" wrap="square" rtlCol="0" anchor="ctr" anchorCtr="0">
                        <a:noAutofit/>
                      </wps:bodyPr>
                    </wps:wsp>
                  </a:graphicData>
                </a:graphic>
                <wp14:sizeRelV relativeFrom="margin">
                  <wp14:pctHeight>0</wp14:pctHeight>
                </wp14:sizeRelV>
              </wp:anchor>
            </w:drawing>
          </mc:Choice>
          <mc:Fallback>
            <w:pict>
              <v:shapetype w14:anchorId="5E28F83E" id="_x0000_t202" coordsize="21600,21600" o:spt="202" path="m,l,21600r21600,l21600,xe">
                <v:stroke joinstyle="miter"/>
                <v:path gradientshapeok="t" o:connecttype="rect"/>
              </v:shapetype>
              <v:shape id="TextBox 4" o:spid="_x0000_s1026" type="#_x0000_t202" style="position:absolute;left:0;text-align:left;margin-left:0;margin-top:0;width:478.5pt;height:16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" fillcolor="white [3201]" strokecolor="#c00000" strokeweight="1.5pt">
                <v:textbox>
                  <w:txbxContent>
                    <w:p w:rsidR="00013C24" w:rsidRDefault="00013C24" w:rsidP="00013C24">
                      <w:pPr>
                        <w:pStyle w:val="NormalWeb"/>
                        <w:spacing w:before="0" w:beforeAutospacing="0" w:after="0" w:afterAutospacing="0"/>
                      </w:pPr>
                      <w:r>
                        <w:rPr>
                          <w:rFonts w:asciiTheme="minorHAnsi" w:hAnsi="Calibri" w:cstheme="minorBidi"/>
                          <w:color w:val="C00000"/>
                          <w:sz w:val="28"/>
                          <w:szCs w:val="28"/>
                        </w:rPr>
                        <w:t>This tool and associated information and materials (including all content, functions, and data) are provided as-is, without warranties of any kind, either expressed or implied.  Materials are for convenience and academic inquiry.  WSDOT shall not be liable for your use of or inability to use the spreadsheet, materials or information under any circumstances.  Use of materials and tools on this website is at your own risk.  You assume full responsibility for use of information, communications, content, files or other materials accessed through this website.</w:t>
                      </w:r>
                    </w:p>
                  </w:txbxContent>
                </v:textbox>
              </v:shape>
            </w:pict>
          </mc:Fallback>
        </mc:AlternateContent>
      </w:r>
      <w:r>
        <w:br w:type="column"/>
      </w:r>
      <w:r w:rsidR="004103B8">
        <w:lastRenderedPageBreak/>
        <w:t>Life Cycle Cost Analysis (LCCA) User’s Guide</w:t>
      </w:r>
    </w:p>
    <w:p w:rsidR="004103B8" w:rsidRDefault="004103B8" w:rsidP="004103B8">
      <w:pPr>
        <w:jc w:val="center"/>
      </w:pPr>
      <w:r>
        <w:t>WSDOT</w:t>
      </w:r>
    </w:p>
    <w:p w:rsidR="004103B8" w:rsidRDefault="004103B8" w:rsidP="004103B8">
      <w:pPr>
        <w:pStyle w:val="ListParagraph"/>
        <w:numPr>
          <w:ilvl w:val="0"/>
          <w:numId w:val="1"/>
        </w:numPr>
      </w:pPr>
      <w:r>
        <w:t>Open LCCA Model .</w:t>
      </w:r>
      <w:proofErr w:type="spellStart"/>
      <w:r>
        <w:t>xlsm</w:t>
      </w:r>
      <w:proofErr w:type="spellEnd"/>
      <w:r>
        <w:t xml:space="preserve"> workb</w:t>
      </w:r>
      <w:r w:rsidR="00371085">
        <w:t>ook and make sure workbook is displaying</w:t>
      </w:r>
      <w:r>
        <w:t xml:space="preserve"> the ‘Enter Alternatives’ tab. </w:t>
      </w:r>
    </w:p>
    <w:p w:rsidR="00B87D57" w:rsidRDefault="00641467" w:rsidP="00B87D57">
      <w:pPr>
        <w:pStyle w:val="ListParagraph"/>
        <w:numPr>
          <w:ilvl w:val="0"/>
          <w:numId w:val="1"/>
        </w:numPr>
      </w:pPr>
      <w:r>
        <w:t xml:space="preserve">Enter the names of the various project alternatives in the </w:t>
      </w:r>
      <w:r w:rsidR="007F39E5">
        <w:t>green</w:t>
      </w:r>
      <w:r>
        <w:t xml:space="preserve"> header </w:t>
      </w:r>
      <w:r w:rsidR="007F39E5">
        <w:t>cells</w:t>
      </w:r>
      <w:r>
        <w:t xml:space="preserve"> in the </w:t>
      </w:r>
      <w:r w:rsidR="00371085">
        <w:t xml:space="preserve">upper </w:t>
      </w:r>
      <w:r>
        <w:t xml:space="preserve">table on this first tab. </w:t>
      </w:r>
    </w:p>
    <w:p w:rsidR="00641467" w:rsidRPr="00B87D57" w:rsidRDefault="00641467" w:rsidP="00B87D57">
      <w:pPr>
        <w:pStyle w:val="ListParagraph"/>
        <w:numPr>
          <w:ilvl w:val="0"/>
          <w:numId w:val="1"/>
        </w:numPr>
      </w:pPr>
      <w:r>
        <w:t>Enter the initial costs, operations costs, rehabilitation costs, salvage value, and lifespan into th</w:t>
      </w:r>
      <w:r w:rsidR="00C03C2D">
        <w:t>is table for each alternative.</w:t>
      </w:r>
      <w:r w:rsidR="00B87D57">
        <w:t xml:space="preserve"> </w:t>
      </w:r>
      <w:r w:rsidR="00B87D57" w:rsidRPr="00B87D57">
        <w:rPr>
          <w:b/>
        </w:rPr>
        <w:t>Note: Never try to change any data contained in gray-colored cells. These cells</w:t>
      </w:r>
      <w:r w:rsidR="00371085">
        <w:rPr>
          <w:b/>
        </w:rPr>
        <w:t xml:space="preserve"> either automatically sum other table values, or their</w:t>
      </w:r>
      <w:r w:rsidR="00B87D57" w:rsidRPr="00B87D57">
        <w:rPr>
          <w:b/>
        </w:rPr>
        <w:t xml:space="preserve"> must </w:t>
      </w:r>
      <w:r w:rsidR="00371085">
        <w:rPr>
          <w:b/>
        </w:rPr>
        <w:t>remain</w:t>
      </w:r>
      <w:r w:rsidR="00B87D57" w:rsidRPr="00B87D57">
        <w:rPr>
          <w:b/>
        </w:rPr>
        <w:t xml:space="preserve"> as they are for the model to function correctly.</w:t>
      </w:r>
      <w:r w:rsidR="00D92A68">
        <w:rPr>
          <w:b/>
        </w:rPr>
        <w:t xml:space="preserve"> Also note that changing the lifespan entries will automatically change the ‘Lifespan Least Common Multiple’ in row 14. This column simply calculates the </w:t>
      </w:r>
      <w:r w:rsidR="008D7D34">
        <w:rPr>
          <w:b/>
        </w:rPr>
        <w:t>lowest multiple common among all entered lifespans. Continue with the entry of the data.</w:t>
      </w:r>
    </w:p>
    <w:p w:rsidR="00641467" w:rsidRDefault="00641467" w:rsidP="004103B8">
      <w:pPr>
        <w:pStyle w:val="ListParagraph"/>
        <w:numPr>
          <w:ilvl w:val="0"/>
          <w:numId w:val="1"/>
        </w:numPr>
      </w:pPr>
      <w:r>
        <w:t xml:space="preserve">In the two </w:t>
      </w:r>
      <w:r w:rsidR="007F39E5">
        <w:t>green</w:t>
      </w:r>
      <w:r>
        <w:t xml:space="preserve"> </w:t>
      </w:r>
      <w:r w:rsidR="007F39E5">
        <w:t>cells</w:t>
      </w:r>
      <w:r>
        <w:t xml:space="preserve"> in the lower table enter the base year for the project and the expected discount rate.</w:t>
      </w:r>
    </w:p>
    <w:p w:rsidR="00641467" w:rsidRDefault="00641467" w:rsidP="004103B8">
      <w:pPr>
        <w:pStyle w:val="ListParagraph"/>
        <w:numPr>
          <w:ilvl w:val="0"/>
          <w:numId w:val="1"/>
        </w:numPr>
      </w:pPr>
      <w:r>
        <w:t>The mo</w:t>
      </w:r>
      <w:r w:rsidR="007F39E5">
        <w:t>del will start</w:t>
      </w:r>
      <w:r>
        <w:t xml:space="preserve"> out with space for two alternatives. In order to add more alternatives, click the ‘Add New Alternative’ button as many times as necessary to fill the analysis as needed.</w:t>
      </w:r>
    </w:p>
    <w:p w:rsidR="00641467" w:rsidRDefault="00641467" w:rsidP="004103B8">
      <w:pPr>
        <w:pStyle w:val="ListParagraph"/>
        <w:numPr>
          <w:ilvl w:val="0"/>
          <w:numId w:val="1"/>
        </w:numPr>
      </w:pPr>
      <w:r>
        <w:t>If you accidentally add too many spaces for alternatives, or decide to scrap an alternative, click the ‘Delete Last Alternative’ button.</w:t>
      </w:r>
      <w:r w:rsidR="000B60BB">
        <w:t xml:space="preserve"> </w:t>
      </w:r>
      <w:r w:rsidR="000B60BB">
        <w:rPr>
          <w:b/>
        </w:rPr>
        <w:t>Note: This action only deletes the last alternative added (the column farthest to the right).</w:t>
      </w:r>
      <w:r w:rsidR="00D819D4">
        <w:rPr>
          <w:b/>
        </w:rPr>
        <w:t xml:space="preserve"> </w:t>
      </w:r>
      <w:r w:rsidR="007F39E5">
        <w:rPr>
          <w:b/>
        </w:rPr>
        <w:t>If you wish to delete a different alternative simply copy and paste the information you want to keep into the left-most columns and then delete the extra columns using the ‘Delete Last Alternative’ button. A minimum of two alternatives</w:t>
      </w:r>
      <w:r w:rsidR="00D819D4">
        <w:rPr>
          <w:b/>
        </w:rPr>
        <w:t xml:space="preserve"> </w:t>
      </w:r>
      <w:r w:rsidR="007F39E5">
        <w:rPr>
          <w:b/>
        </w:rPr>
        <w:t xml:space="preserve">is </w:t>
      </w:r>
      <w:r w:rsidR="00D819D4">
        <w:rPr>
          <w:b/>
        </w:rPr>
        <w:t xml:space="preserve">necessary </w:t>
      </w:r>
      <w:r w:rsidR="00167A50">
        <w:rPr>
          <w:b/>
        </w:rPr>
        <w:t xml:space="preserve">in order </w:t>
      </w:r>
      <w:r w:rsidR="00D819D4">
        <w:rPr>
          <w:b/>
        </w:rPr>
        <w:t>for the model t</w:t>
      </w:r>
      <w:r w:rsidR="007F39E5">
        <w:rPr>
          <w:b/>
        </w:rPr>
        <w:t>o function as a comparison tool, thus the ‘Delete Last Alternative’ button does not function when there are only two alternatives in the model.</w:t>
      </w:r>
    </w:p>
    <w:p w:rsidR="00167A50" w:rsidRDefault="000B60BB" w:rsidP="00167A50">
      <w:pPr>
        <w:pStyle w:val="ListParagraph"/>
        <w:numPr>
          <w:ilvl w:val="0"/>
          <w:numId w:val="1"/>
        </w:numPr>
      </w:pPr>
      <w:r>
        <w:t>After entering all data in steps 2-5, click the ‘Generate Compa</w:t>
      </w:r>
      <w:r w:rsidR="009C0683">
        <w:t xml:space="preserve">rison’ button. This will run the model and calculate the present </w:t>
      </w:r>
      <w:r w:rsidR="00C03C2D">
        <w:t>worth</w:t>
      </w:r>
      <w:r w:rsidR="009C0683">
        <w:t xml:space="preserve"> and annual costs for each alternative</w:t>
      </w:r>
      <w:r w:rsidR="00C03C2D">
        <w:t>. Finally, this button will</w:t>
      </w:r>
      <w:r>
        <w:t xml:space="preserve"> bring you to the ‘Ranking’ tab where the alternative</w:t>
      </w:r>
      <w:r w:rsidR="00C03C2D">
        <w:t>s will be ranked from least</w:t>
      </w:r>
      <w:r>
        <w:t xml:space="preserve"> to highest cost</w:t>
      </w:r>
      <w:r w:rsidR="009C0683">
        <w:t xml:space="preserve"> for both analysis methods.</w:t>
      </w:r>
    </w:p>
    <w:p w:rsidR="00E40723" w:rsidRDefault="00E40723" w:rsidP="00167A50">
      <w:pPr>
        <w:pStyle w:val="ListParagraph"/>
        <w:numPr>
          <w:ilvl w:val="0"/>
          <w:numId w:val="1"/>
        </w:numPr>
      </w:pPr>
      <w:r>
        <w:t>View the ‘Visuals’</w:t>
      </w:r>
      <w:r w:rsidR="0017048A">
        <w:t xml:space="preserve"> tab to see the</w:t>
      </w:r>
      <w:r>
        <w:t xml:space="preserve"> chart showing the cumulative present worth of each alternative over the common lifespan. This can help with alternative comparison and will show at what point in time the alternatives become equivalent, if ever.</w:t>
      </w:r>
    </w:p>
    <w:p w:rsidR="00167A50" w:rsidRDefault="00167A50" w:rsidP="00167A50"/>
    <w:p w:rsidR="00167A50" w:rsidRDefault="00167A50" w:rsidP="00167A50">
      <w:r>
        <w:t>Making Changes</w:t>
      </w:r>
    </w:p>
    <w:p w:rsidR="00167A50" w:rsidRDefault="00167A50" w:rsidP="00167A50">
      <w:pPr>
        <w:pStyle w:val="ListParagraph"/>
        <w:numPr>
          <w:ilvl w:val="0"/>
          <w:numId w:val="1"/>
        </w:numPr>
      </w:pPr>
      <w:r>
        <w:t>In order to change any data, go back to the ‘Enter Alternatives’ tab, make the necessary changes to the input tables, add or delete alternatives as needed</w:t>
      </w:r>
      <w:r w:rsidR="00E40723">
        <w:t xml:space="preserve"> (See steps 5 &amp; 6)</w:t>
      </w:r>
      <w:r>
        <w:t>, and then click the ‘Generate Comparison’ button again to perform another analysis.</w:t>
      </w:r>
      <w:r w:rsidR="00E40723">
        <w:t xml:space="preserve"> This can be done as many times as you wish.</w:t>
      </w:r>
    </w:p>
    <w:p w:rsidR="001F374B" w:rsidRDefault="0034189D" w:rsidP="001F374B">
      <w:r>
        <w:t>Net Present Value</w:t>
      </w:r>
      <w:r w:rsidR="001F374B">
        <w:t xml:space="preserve">, </w:t>
      </w:r>
      <w:r>
        <w:t>NPV</w:t>
      </w:r>
      <w:r w:rsidR="001F374B">
        <w:t xml:space="preserve"> = </w:t>
      </w:r>
      <w:r w:rsidRPr="0034189D">
        <w:t>a standard measure in LCC (life cycle cost) analyses, used to determine and compare the cost effectiveness of proposed solutions</w:t>
      </w:r>
    </w:p>
    <w:p w:rsidR="00C77935" w:rsidRDefault="001F374B" w:rsidP="004103B8">
      <w:r>
        <w:t xml:space="preserve">Equivalent Uniform Annual Cost, EUAC = </w:t>
      </w:r>
      <w:r w:rsidR="00DC45F5">
        <w:rPr>
          <w:rFonts w:ascii="Arial" w:hAnsi="Arial" w:cs="Arial"/>
          <w:color w:val="222222"/>
          <w:shd w:val="clear" w:color="auto" w:fill="FFFFFF"/>
        </w:rPr>
        <w:t xml:space="preserve">the </w:t>
      </w:r>
      <w:r w:rsidR="00DC45F5" w:rsidRPr="00C3171E">
        <w:rPr>
          <w:rFonts w:ascii="Arial" w:hAnsi="Arial" w:cs="Arial"/>
          <w:b/>
          <w:bCs/>
          <w:color w:val="222222"/>
          <w:u w:val="single"/>
          <w:shd w:val="clear" w:color="auto" w:fill="FFFFFF"/>
        </w:rPr>
        <w:t>cost</w:t>
      </w:r>
      <w:r w:rsidR="00DC45F5" w:rsidRPr="00C3171E">
        <w:rPr>
          <w:rFonts w:ascii="Arial" w:hAnsi="Arial" w:cs="Arial"/>
          <w:color w:val="222222"/>
          <w:u w:val="single"/>
          <w:shd w:val="clear" w:color="auto" w:fill="FFFFFF"/>
        </w:rPr>
        <w:t> per year</w:t>
      </w:r>
      <w:r w:rsidR="00DC45F5">
        <w:rPr>
          <w:rFonts w:ascii="Arial" w:hAnsi="Arial" w:cs="Arial"/>
          <w:color w:val="222222"/>
          <w:shd w:val="clear" w:color="auto" w:fill="FFFFFF"/>
        </w:rPr>
        <w:t xml:space="preserve"> of owning and operating an asset over its entire lifespan</w:t>
      </w:r>
      <w:r w:rsidR="00BD2B8A">
        <w:rPr>
          <w:rFonts w:ascii="Arial" w:hAnsi="Arial" w:cs="Arial"/>
          <w:color w:val="222222"/>
          <w:shd w:val="clear" w:color="auto" w:fill="FFFFFF"/>
        </w:rPr>
        <w:t>.</w:t>
      </w:r>
    </w:p>
    <w:sectPr w:rsidR="00C779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D11362"/>
    <w:multiLevelType w:val="hybridMultilevel"/>
    <w:tmpl w:val="D2D02D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3B8"/>
    <w:rsid w:val="000077A4"/>
    <w:rsid w:val="00013C24"/>
    <w:rsid w:val="00053E85"/>
    <w:rsid w:val="000B60BB"/>
    <w:rsid w:val="00167A50"/>
    <w:rsid w:val="0017048A"/>
    <w:rsid w:val="001F374B"/>
    <w:rsid w:val="0034189D"/>
    <w:rsid w:val="00371085"/>
    <w:rsid w:val="004103B8"/>
    <w:rsid w:val="00515399"/>
    <w:rsid w:val="00641467"/>
    <w:rsid w:val="007F39E5"/>
    <w:rsid w:val="008024DE"/>
    <w:rsid w:val="008D7D34"/>
    <w:rsid w:val="009C0683"/>
    <w:rsid w:val="00B87D57"/>
    <w:rsid w:val="00BD2B8A"/>
    <w:rsid w:val="00C03C2D"/>
    <w:rsid w:val="00C136B0"/>
    <w:rsid w:val="00C3171E"/>
    <w:rsid w:val="00C77935"/>
    <w:rsid w:val="00D819D4"/>
    <w:rsid w:val="00D92A68"/>
    <w:rsid w:val="00DC45F5"/>
    <w:rsid w:val="00E40723"/>
    <w:rsid w:val="00FC3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8ECE1C-9FFD-46F9-B3A3-C6CD1AB19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03B8"/>
    <w:pPr>
      <w:ind w:left="720"/>
      <w:contextualSpacing/>
    </w:pPr>
  </w:style>
  <w:style w:type="paragraph" w:styleId="NormalWeb">
    <w:name w:val="Normal (Web)"/>
    <w:basedOn w:val="Normal"/>
    <w:uiPriority w:val="99"/>
    <w:semiHidden/>
    <w:unhideWhenUsed/>
    <w:rsid w:val="00C77935"/>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438</Words>
  <Characters>2503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Life Cycle Cost Analysis (LCCA) User’s Guide</vt:lpstr>
    </vt:vector>
  </TitlesOfParts>
  <Company>WSDOT</Company>
  <LinksUpToDate>false</LinksUpToDate>
  <CharactersWithSpaces>2936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Life Cycle Cost Analysis (LCCA) User’s Guide</dc:title>
  <dc:subject/>
  <dc:creator>WSDOT Design</dc:creator>
  <cp:keywords/>
  <dc:description/>
  <cp:lastModifiedBy>Williams, Stephanie</cp:lastModifiedBy>
  <cp:revision>2</cp:revision>
  <dcterms:created xsi:type="dcterms:W3CDTF">2019-05-30T17:01:00Z</dcterms:created>
  <dcterms:modified xsi:type="dcterms:W3CDTF">2019-05-30T17:01:00Z</dcterms:modified>
</cp:coreProperties>
</file>