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D92E" w14:textId="77777777" w:rsidR="000D5E87" w:rsidRDefault="000D5E87">
      <w:pPr>
        <w:spacing w:line="240" w:lineRule="atLeast"/>
        <w:jc w:val="center"/>
        <w:rPr>
          <w:rFonts w:ascii="Arial" w:hAnsi="Arial"/>
          <w:b/>
          <w:sz w:val="28"/>
        </w:rPr>
      </w:pPr>
      <w:r>
        <w:rPr>
          <w:rFonts w:ascii="Arial" w:hAnsi="Arial"/>
          <w:b/>
          <w:sz w:val="28"/>
        </w:rPr>
        <w:t>APPRAISAL ASSUMPTIONS AND LIMITING CONDITIONS</w:t>
      </w:r>
    </w:p>
    <w:p w14:paraId="3797AB4E" w14:textId="77777777" w:rsidR="000D5E87" w:rsidRDefault="000D5E87">
      <w:pPr>
        <w:spacing w:line="240" w:lineRule="atLeast"/>
        <w:jc w:val="center"/>
        <w:rPr>
          <w:rFonts w:ascii="Arial" w:hAnsi="Arial"/>
          <w:b/>
          <w:sz w:val="28"/>
        </w:rPr>
      </w:pPr>
    </w:p>
    <w:p w14:paraId="509390E6" w14:textId="77777777" w:rsidR="000D5E87" w:rsidRDefault="000D5E87">
      <w:pPr>
        <w:spacing w:line="240" w:lineRule="atLeast"/>
        <w:jc w:val="center"/>
        <w:rPr>
          <w:rFonts w:ascii="Arial" w:hAnsi="Arial"/>
          <w:sz w:val="18"/>
        </w:rPr>
      </w:pPr>
    </w:p>
    <w:p w14:paraId="482A9EEC" w14:textId="77777777" w:rsidR="000D5E87" w:rsidRDefault="000D5E87">
      <w:pPr>
        <w:spacing w:line="240" w:lineRule="atLeast"/>
        <w:jc w:val="both"/>
        <w:rPr>
          <w:rFonts w:ascii="Arial" w:hAnsi="Arial"/>
          <w:sz w:val="20"/>
        </w:rPr>
      </w:pPr>
      <w:r>
        <w:rPr>
          <w:rFonts w:ascii="Arial" w:hAnsi="Arial"/>
          <w:sz w:val="20"/>
        </w:rPr>
        <w:tab/>
      </w:r>
      <w:r>
        <w:rPr>
          <w:rFonts w:ascii="Arial" w:hAnsi="Arial"/>
          <w:b/>
          <w:sz w:val="20"/>
        </w:rPr>
        <w:t>1.</w:t>
      </w:r>
      <w:r>
        <w:rPr>
          <w:rFonts w:ascii="Arial" w:hAnsi="Arial"/>
          <w:sz w:val="20"/>
        </w:rPr>
        <w:t xml:space="preserve"> The property description supplied to the appraiser is assumed to be correct;</w:t>
      </w:r>
    </w:p>
    <w:p w14:paraId="261F95A2"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2.</w:t>
      </w:r>
      <w:r>
        <w:rPr>
          <w:rFonts w:ascii="Arial" w:hAnsi="Arial"/>
          <w:sz w:val="20"/>
        </w:rPr>
        <w:t xml:space="preserve"> No survey of the property has been made or reviewed by the appraiser, and no responsibility is assumed in connection with such matters.  Illustrative material, including maps and plot plans, utilized in this report are included only to assist the reader in visualizing the property.  Property dimensions and sizes are </w:t>
      </w:r>
      <w:proofErr w:type="gramStart"/>
      <w:r>
        <w:rPr>
          <w:rFonts w:ascii="Arial" w:hAnsi="Arial"/>
          <w:sz w:val="20"/>
        </w:rPr>
        <w:t>considered  to</w:t>
      </w:r>
      <w:proofErr w:type="gramEnd"/>
      <w:r>
        <w:rPr>
          <w:rFonts w:ascii="Arial" w:hAnsi="Arial"/>
          <w:sz w:val="20"/>
        </w:rPr>
        <w:t xml:space="preserve"> be approximate;</w:t>
      </w:r>
    </w:p>
    <w:p w14:paraId="24BC2FC9"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3.</w:t>
      </w:r>
      <w:r>
        <w:rPr>
          <w:rFonts w:ascii="Arial" w:hAnsi="Arial"/>
          <w:sz w:val="20"/>
        </w:rPr>
        <w:t xml:space="preserve"> No responsibility is assumed for matters of a legal nature affecting title to the property, nor is any opinion of title rendered.  Property titles are assumed to be good and merchantable unless otherwise stated;</w:t>
      </w:r>
    </w:p>
    <w:p w14:paraId="6281F3E1"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4.</w:t>
      </w:r>
      <w:r>
        <w:rPr>
          <w:rFonts w:ascii="Arial" w:hAnsi="Arial"/>
          <w:sz w:val="20"/>
        </w:rPr>
        <w:t xml:space="preserve"> Information furnished by others is believed to be true, correct, and reliable.  However, no responsibility for its accuracy is assumed by the appraiser;</w:t>
      </w:r>
    </w:p>
    <w:p w14:paraId="2E75F1FB"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5.</w:t>
      </w:r>
      <w:r>
        <w:rPr>
          <w:rFonts w:ascii="Arial" w:hAnsi="Arial"/>
          <w:sz w:val="20"/>
        </w:rPr>
        <w:t xml:space="preserve"> All mortgages, liens, encumbrances, leases, and servitudes have been disregarded unless so specified within the report.  The property is assumed to be under responsible, financially sound ownership and competent management;</w:t>
      </w:r>
    </w:p>
    <w:p w14:paraId="7DD0EB98"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6.</w:t>
      </w:r>
      <w:r>
        <w:rPr>
          <w:rFonts w:ascii="Arial" w:hAnsi="Arial"/>
          <w:sz w:val="20"/>
        </w:rPr>
        <w:t xml:space="preserve"> It is assumed that there are no hidden or unapparent conditions of the property, subsoil, or structures which would render the property more or less valuable.  No responsibility is assumed for such conditions or for arranging for engineering studies which may be required to discover them;</w:t>
      </w:r>
    </w:p>
    <w:p w14:paraId="52EB1603"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7.</w:t>
      </w:r>
      <w:r>
        <w:rPr>
          <w:rFonts w:ascii="Arial" w:hAnsi="Arial"/>
          <w:sz w:val="20"/>
        </w:rPr>
        <w:t xml:space="preserve"> Unless otherwise stated in this report, the existence of hazardous material, which may or may not be present on the property, was not observed by the appraiser.    However, the appraiser is not qualified to detect such substances.  The presence of substances such as asbestos, urea-formaldehyde foam insulation, or other potentially hazardous materials may affect the value of the property.  The value conclusions in this report </w:t>
      </w:r>
      <w:proofErr w:type="gramStart"/>
      <w:r>
        <w:rPr>
          <w:rFonts w:ascii="Arial" w:hAnsi="Arial"/>
          <w:sz w:val="20"/>
        </w:rPr>
        <w:t>are predicated</w:t>
      </w:r>
      <w:proofErr w:type="gramEnd"/>
      <w:r>
        <w:rPr>
          <w:rFonts w:ascii="Arial" w:hAnsi="Arial"/>
          <w:sz w:val="20"/>
        </w:rPr>
        <w:t xml:space="preserve"> on the assumption that there is no such materials on or in the property that would cause a loss of value.  No responsibility is assumed for any such conditions, or for the expertise required to discover them.  The client is urged to retain an expert in this field if desired.  The analysis and value conclusions in this report are null and void should any hazardous material be discovered;</w:t>
      </w:r>
    </w:p>
    <w:p w14:paraId="1FB84B3B"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8.</w:t>
      </w:r>
      <w:r>
        <w:rPr>
          <w:rFonts w:ascii="Arial" w:hAnsi="Arial"/>
          <w:sz w:val="20"/>
        </w:rPr>
        <w:t xml:space="preserve"> Unless otherwise stated in this report, no environmental impact studies were either requested or made in conjunction with this report.  The appraiser reserves the right to alter, amend, revise, or rescind any opinions of value based upon any subsequent environmental impact studies, research, or investigation;</w:t>
      </w:r>
    </w:p>
    <w:p w14:paraId="7C2ADD9D"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9.</w:t>
      </w:r>
      <w:r>
        <w:rPr>
          <w:rFonts w:ascii="Arial" w:hAnsi="Arial"/>
          <w:sz w:val="20"/>
        </w:rPr>
        <w:t xml:space="preserve"> It is assumed that there is full compliance with all applicable federal, state. and local environmental regulations and laws unless noncompliance is specified, defined, and considered in this report;</w:t>
      </w:r>
    </w:p>
    <w:p w14:paraId="1384BF4F"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10.</w:t>
      </w:r>
      <w:r>
        <w:rPr>
          <w:rFonts w:ascii="Arial" w:hAnsi="Arial"/>
          <w:sz w:val="20"/>
        </w:rPr>
        <w:t xml:space="preserve"> It is assumed that all applicable zoning and use regulations and restrictions have been complied with, unless non-conformity has been specified, defined and considered in this report;</w:t>
      </w:r>
    </w:p>
    <w:p w14:paraId="66ABE322"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11.</w:t>
      </w:r>
      <w:r>
        <w:rPr>
          <w:rFonts w:ascii="Arial" w:hAnsi="Arial"/>
          <w:sz w:val="20"/>
        </w:rPr>
        <w:t xml:space="preserve"> It is assumed that all required licenses, certificates of occupancy, consents, or other legislative or administrative authority from any local, state, or federal governmental or private entity or organization have been or can be obtained or renewed for any use on which the value estimate is based;</w:t>
      </w:r>
    </w:p>
    <w:p w14:paraId="6B357A59"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12.</w:t>
      </w:r>
      <w:r>
        <w:rPr>
          <w:rFonts w:ascii="Arial" w:hAnsi="Arial"/>
          <w:sz w:val="20"/>
        </w:rPr>
        <w:t xml:space="preserve"> The appraiser will not be required to give testimony or appear in court because of having made this report, unless arrangements have previously been made;</w:t>
      </w:r>
    </w:p>
    <w:p w14:paraId="7DA390DB"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13.</w:t>
      </w:r>
      <w:r>
        <w:rPr>
          <w:rFonts w:ascii="Arial" w:hAnsi="Arial"/>
          <w:sz w:val="20"/>
        </w:rPr>
        <w:t xml:space="preserve"> Possession of this report, or a copy thereof, does not carry with it the right of publication.  It may not be used for any purpose by any person other than the client without the written consent of the appraiser, and in any event, only with properly written qualification and only in its entirety;</w:t>
      </w:r>
    </w:p>
    <w:p w14:paraId="06F90A63"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14.</w:t>
      </w:r>
      <w:r>
        <w:rPr>
          <w:rFonts w:ascii="Arial" w:hAnsi="Arial"/>
          <w:sz w:val="20"/>
        </w:rPr>
        <w:t xml:space="preserve"> Neither all nor any part of the contents of this report, or copy thereof, shall be conveyed to the public through advertising, public relations, news, sales, or any other media without written consent and approval of the appraiser.  Nor shall the appraiser, client, firm, or professional organization of which the appraiser is a member be identified without the written consent of the appraiser;</w:t>
      </w:r>
    </w:p>
    <w:p w14:paraId="1B102FF0"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15.</w:t>
      </w:r>
      <w:r>
        <w:rPr>
          <w:rFonts w:ascii="Arial" w:hAnsi="Arial"/>
          <w:sz w:val="20"/>
        </w:rPr>
        <w:t xml:space="preserve"> The liability of the appraiser, employees, and subcontractors is limited to the client only.  There is no accountability, obligation, or liability to any third party.  If this report is placed in the hands of anyone other than the client, the client shall make such party aware of all limiting conditions and assumptions of the assignment and related discussions.  The appraiser is in no way r</w:t>
      </w:r>
      <w:bookmarkStart w:id="0" w:name="_GoBack"/>
      <w:bookmarkEnd w:id="0"/>
      <w:r>
        <w:rPr>
          <w:rFonts w:ascii="Arial" w:hAnsi="Arial"/>
          <w:sz w:val="20"/>
        </w:rPr>
        <w:t>esponsible for any costs incurred to discover or correct any deficiencies of the property;</w:t>
      </w:r>
    </w:p>
    <w:p w14:paraId="570BD7F6"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 xml:space="preserve">16. </w:t>
      </w:r>
      <w:r>
        <w:rPr>
          <w:rFonts w:ascii="Arial" w:hAnsi="Arial"/>
          <w:sz w:val="20"/>
        </w:rPr>
        <w:t>It is assumed that the public project which is the object of this report, will be constructed in the manner proposed and in the foreseeable future;</w:t>
      </w:r>
    </w:p>
    <w:p w14:paraId="7C68E708" w14:textId="77777777" w:rsidR="000D5E87" w:rsidRDefault="000D5E87">
      <w:pPr>
        <w:spacing w:line="240" w:lineRule="atLeast"/>
        <w:ind w:left="720" w:hanging="720"/>
        <w:jc w:val="both"/>
        <w:rPr>
          <w:rFonts w:ascii="Arial" w:hAnsi="Arial"/>
          <w:sz w:val="20"/>
        </w:rPr>
      </w:pPr>
      <w:r>
        <w:rPr>
          <w:rFonts w:ascii="Arial" w:hAnsi="Arial"/>
          <w:sz w:val="20"/>
        </w:rPr>
        <w:tab/>
      </w:r>
      <w:r>
        <w:rPr>
          <w:rFonts w:ascii="Arial" w:hAnsi="Arial"/>
          <w:b/>
          <w:sz w:val="20"/>
        </w:rPr>
        <w:t>17.</w:t>
      </w:r>
      <w:r>
        <w:rPr>
          <w:rFonts w:ascii="Arial" w:hAnsi="Arial"/>
          <w:sz w:val="20"/>
        </w:rPr>
        <w:t xml:space="preserve"> Acceptance and/or use of this report constitutes acceptance of the foregoing assumptions and limiting conditions.</w:t>
      </w:r>
    </w:p>
    <w:p w14:paraId="5F7428F9" w14:textId="77777777" w:rsidR="000D5E87" w:rsidRDefault="000D5E87">
      <w:pPr>
        <w:spacing w:line="240" w:lineRule="atLeast"/>
        <w:ind w:left="720" w:hanging="720"/>
        <w:jc w:val="both"/>
        <w:rPr>
          <w:rFonts w:ascii="Arial" w:hAnsi="Arial"/>
          <w:sz w:val="20"/>
        </w:rPr>
      </w:pPr>
    </w:p>
    <w:sectPr w:rsidR="000D5E87">
      <w:footerReference w:type="default" r:id="rId9"/>
      <w:pgSz w:w="12240" w:h="15840"/>
      <w:pgMar w:top="720" w:right="720" w:bottom="720" w:left="0" w:header="720" w:footer="720"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6B46" w14:textId="77777777" w:rsidR="00202C3A" w:rsidRDefault="00202C3A">
      <w:r>
        <w:separator/>
      </w:r>
    </w:p>
  </w:endnote>
  <w:endnote w:type="continuationSeparator" w:id="0">
    <w:p w14:paraId="134333CD" w14:textId="77777777" w:rsidR="00202C3A" w:rsidRDefault="0020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A958" w14:textId="77777777" w:rsidR="000D5E87" w:rsidRDefault="000D5E87">
    <w:pPr>
      <w:pStyle w:val="Footer"/>
      <w:tabs>
        <w:tab w:val="clear" w:pos="4320"/>
        <w:tab w:val="clear" w:pos="8640"/>
        <w:tab w:val="center" w:pos="2430"/>
        <w:tab w:val="right" w:pos="6390"/>
      </w:tabs>
      <w:ind w:left="720"/>
      <w:rPr>
        <w:rFonts w:ascii="Arial" w:hAnsi="Arial"/>
        <w:sz w:val="18"/>
      </w:rPr>
    </w:pPr>
    <w:r>
      <w:rPr>
        <w:rFonts w:ascii="Arial" w:hAnsi="Arial"/>
        <w:sz w:val="18"/>
      </w:rPr>
      <w:t xml:space="preserve">Appraiser:  </w:t>
    </w:r>
    <w:r>
      <w:fldChar w:fldCharType="begin"/>
    </w:r>
    <w:r>
      <w:fldChar w:fldCharType="end"/>
    </w:r>
    <w:r>
      <w:rPr>
        <w:rFonts w:ascii="Arial" w:hAnsi="Arial"/>
        <w:sz w:val="18"/>
      </w:rPr>
      <w:t xml:space="preserve">                </w:t>
    </w:r>
    <w:r>
      <w:rPr>
        <w:rFonts w:ascii="Arial" w:hAnsi="Arial"/>
        <w:sz w:val="18"/>
      </w:rPr>
      <w:tab/>
      <w:t>Page</w:t>
    </w:r>
    <w:r>
      <w:rPr>
        <w:rFonts w:ascii="Arial" w:hAnsi="Arial"/>
        <w:sz w:val="18"/>
      </w:rPr>
      <w:tab/>
    </w:r>
    <w:r>
      <w:rPr>
        <w:rFonts w:ascii="Arial" w:hAnsi="Arial"/>
        <w:sz w:val="18"/>
      </w:rPr>
      <w:tab/>
    </w:r>
    <w:r>
      <w:rPr>
        <w:rFonts w:ascii="Arial" w:hAnsi="Arial"/>
        <w:sz w:val="18"/>
      </w:rPr>
      <w:tab/>
    </w:r>
    <w:r>
      <w:rPr>
        <w:rFonts w:ascii="Arial" w:hAnsi="Arial"/>
        <w:sz w:val="18"/>
      </w:rPr>
      <w:tab/>
      <w:t>Parcel:</w:t>
    </w:r>
    <w:r>
      <w:fldChar w:fldCharType="begin"/>
    </w:r>
    <w:r>
      <w:fldChar w:fldCharType="end"/>
    </w:r>
  </w:p>
  <w:p w14:paraId="4685467F" w14:textId="77777777" w:rsidR="000D5E87" w:rsidRDefault="000D5E87">
    <w:pPr>
      <w:pStyle w:val="Footer"/>
      <w:tabs>
        <w:tab w:val="clear" w:pos="4320"/>
        <w:tab w:val="clear" w:pos="8640"/>
        <w:tab w:val="center" w:pos="2430"/>
        <w:tab w:val="right" w:pos="6390"/>
      </w:tabs>
      <w:ind w:left="720"/>
      <w:rPr>
        <w:rFonts w:ascii="Arial" w:hAnsi="Arial"/>
        <w:sz w:val="12"/>
      </w:rPr>
    </w:pPr>
  </w:p>
  <w:p w14:paraId="01EE5274" w14:textId="21273EF9" w:rsidR="000D5E87" w:rsidRDefault="00D31AF1">
    <w:pPr>
      <w:pStyle w:val="Footer"/>
      <w:tabs>
        <w:tab w:val="clear" w:pos="4320"/>
        <w:tab w:val="clear" w:pos="8640"/>
        <w:tab w:val="center" w:pos="2430"/>
        <w:tab w:val="right" w:pos="6390"/>
      </w:tabs>
      <w:ind w:left="720"/>
      <w:rPr>
        <w:rFonts w:ascii="Arial" w:hAnsi="Arial"/>
        <w:sz w:val="16"/>
      </w:rPr>
    </w:pPr>
    <w:r>
      <w:rPr>
        <w:rFonts w:ascii="Arial" w:hAnsi="Arial"/>
        <w:sz w:val="16"/>
      </w:rPr>
      <w:t>LPA</w:t>
    </w:r>
    <w:r w:rsidR="000D5E87">
      <w:rPr>
        <w:rFonts w:ascii="Arial" w:hAnsi="Arial"/>
        <w:sz w:val="16"/>
      </w:rPr>
      <w:t>-211</w:t>
    </w:r>
  </w:p>
  <w:p w14:paraId="2EDDD73A" w14:textId="50B6A7BF" w:rsidR="000D5E87" w:rsidRDefault="00263412">
    <w:pPr>
      <w:pStyle w:val="Footer"/>
      <w:tabs>
        <w:tab w:val="clear" w:pos="4320"/>
        <w:tab w:val="clear" w:pos="8640"/>
        <w:tab w:val="center" w:pos="2430"/>
        <w:tab w:val="right" w:pos="6390"/>
      </w:tabs>
      <w:ind w:left="720"/>
      <w:rPr>
        <w:rFonts w:ascii="Arial" w:hAnsi="Arial"/>
        <w:sz w:val="16"/>
      </w:rPr>
    </w:pPr>
    <w:r>
      <w:rPr>
        <w:rFonts w:ascii="Arial" w:hAnsi="Arial"/>
        <w:sz w:val="16"/>
      </w:rPr>
      <w:t>6</w:t>
    </w:r>
    <w:r w:rsidR="005C1602">
      <w:rPr>
        <w:rFonts w:ascii="Arial" w:hAnsi="Arial"/>
        <w:sz w:val="16"/>
      </w:rPr>
      <w:t>/201</w:t>
    </w:r>
    <w:r w:rsidR="00D31AF1">
      <w:rPr>
        <w:rFonts w:ascii="Arial" w:hAnsi="Arial"/>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908F" w14:textId="77777777" w:rsidR="00202C3A" w:rsidRDefault="00202C3A">
      <w:r>
        <w:separator/>
      </w:r>
    </w:p>
  </w:footnote>
  <w:footnote w:type="continuationSeparator" w:id="0">
    <w:p w14:paraId="1E34892E" w14:textId="77777777" w:rsidR="00202C3A" w:rsidRDefault="0020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F0"/>
    <w:rsid w:val="000D5E87"/>
    <w:rsid w:val="001D1960"/>
    <w:rsid w:val="00202C3A"/>
    <w:rsid w:val="00263412"/>
    <w:rsid w:val="0052768E"/>
    <w:rsid w:val="005C1602"/>
    <w:rsid w:val="005C2DF0"/>
    <w:rsid w:val="007C7F44"/>
    <w:rsid w:val="00A94896"/>
    <w:rsid w:val="00D3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E1B6"/>
  <w15:docId w15:val="{60D80FFF-F8FF-40A1-A987-6F81743E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rFonts w:ascii="Arial" w:hAnsi="Arial"/>
    </w:rPr>
  </w:style>
  <w:style w:type="paragraph" w:customStyle="1" w:styleId="1stBulletPara">
    <w:name w:val="1st Bullet Para"/>
    <w:basedOn w:val="Normal"/>
    <w:pPr>
      <w:spacing w:after="160"/>
      <w:ind w:left="360" w:hanging="360"/>
    </w:pPr>
  </w:style>
  <w:style w:type="paragraph" w:customStyle="1" w:styleId="2ndBulletPara">
    <w:name w:val="2nd Bullet Para"/>
    <w:basedOn w:val="1stBulletPara"/>
    <w:pPr>
      <w:ind w:left="1080"/>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37883-65E6-4D7E-A1EA-40C734068A2A}">
  <ds:schemaRefs>
    <ds:schemaRef ds:uri="http://schemas.microsoft.com/sharepoint/v3/contenttype/forms"/>
  </ds:schemaRefs>
</ds:datastoreItem>
</file>

<file path=customXml/itemProps2.xml><?xml version="1.0" encoding="utf-8"?>
<ds:datastoreItem xmlns:ds="http://schemas.openxmlformats.org/officeDocument/2006/customXml" ds:itemID="{3AC1CEA7-6524-488B-86B5-E78E9B35B1E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D34CC57-86C4-4BEA-A59F-7240D438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 211 ASSUMPTIONS AND LIMITING CONDITIONS</vt:lpstr>
    </vt:vector>
  </TitlesOfParts>
  <Company>WSDOT Real Estate Services</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211 ASSUMPTIONS AND LIMITING CONDITIONS</dc:title>
  <dc:subject>ASSUMPTIONS AND LIMITING CONDITIONS</dc:subject>
  <dc:creator>WSDOT Real Estate Services - Appraisal</dc:creator>
  <cp:keywords>RES 211 ASSUMPTIONS AND LIMITING CONDITIONS</cp:keywords>
  <cp:lastModifiedBy>Nausley, Dianna</cp:lastModifiedBy>
  <cp:revision>3</cp:revision>
  <dcterms:created xsi:type="dcterms:W3CDTF">2017-02-02T18:57:00Z</dcterms:created>
  <dcterms:modified xsi:type="dcterms:W3CDTF">2017-06-06T00:41:00Z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Order">
    <vt:r8>18500</vt:r8>
  </property>
  <property fmtid="{D5CDD505-2E9C-101B-9397-08002B2CF9AE}" pid="4" name="xd_ProgID">
    <vt:lpwstr/>
  </property>
  <property fmtid="{D5CDD505-2E9C-101B-9397-08002B2CF9AE}" pid="5" name="TemplateUrl">
    <vt:lpwstr/>
  </property>
</Properties>
</file>