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74E1" w14:textId="103838B6" w:rsidR="00047D59" w:rsidRPr="00DF065A" w:rsidRDefault="003F2171" w:rsidP="003F2171">
      <w:pPr>
        <w:jc w:val="center"/>
        <w:rPr>
          <w:b/>
          <w:sz w:val="32"/>
          <w:szCs w:val="32"/>
        </w:rPr>
      </w:pPr>
      <w:r w:rsidRPr="00DF065A">
        <w:rPr>
          <w:b/>
          <w:sz w:val="32"/>
          <w:szCs w:val="32"/>
        </w:rPr>
        <w:t>Incidental Purchase Expenses Worksheet</w:t>
      </w:r>
    </w:p>
    <w:p w14:paraId="3F2DFF21" w14:textId="586266BC" w:rsidR="0046100A" w:rsidRPr="00DF065A" w:rsidRDefault="00C206DA" w:rsidP="00047D59">
      <w:pPr>
        <w:jc w:val="center"/>
        <w:rPr>
          <w:b/>
          <w:sz w:val="32"/>
          <w:szCs w:val="32"/>
        </w:rPr>
      </w:pPr>
      <w:r w:rsidRPr="00DF065A">
        <w:rPr>
          <w:b/>
          <w:sz w:val="32"/>
          <w:szCs w:val="32"/>
        </w:rPr>
        <w:t>(Preliminary or Final)</w:t>
      </w: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90"/>
        <w:gridCol w:w="3690"/>
      </w:tblGrid>
      <w:tr w:rsidR="003F2171" w:rsidRPr="00A53556" w14:paraId="1868B6CE" w14:textId="77777777" w:rsidTr="000D580E">
        <w:trPr>
          <w:trHeight w:val="360"/>
        </w:trPr>
        <w:tc>
          <w:tcPr>
            <w:tcW w:w="7290" w:type="dxa"/>
          </w:tcPr>
          <w:p w14:paraId="1868B6CB" w14:textId="17FF657F" w:rsidR="003F2171" w:rsidRPr="00A53556" w:rsidRDefault="003F2171" w:rsidP="003F2171">
            <w:pPr>
              <w:rPr>
                <w:bCs/>
              </w:rPr>
            </w:pPr>
            <w:r w:rsidRPr="00A53556">
              <w:rPr>
                <w:b/>
                <w:bCs/>
              </w:rPr>
              <w:t>Project Title:</w:t>
            </w:r>
          </w:p>
          <w:p w14:paraId="1868B6CC" w14:textId="645748A4" w:rsidR="003F2171" w:rsidRPr="00A53556" w:rsidRDefault="007A7C0B" w:rsidP="003F2171">
            <w:pPr>
              <w:rPr>
                <w:bCs/>
              </w:rPr>
            </w:pP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3690" w:type="dxa"/>
          </w:tcPr>
          <w:p w14:paraId="2D1C2B9B" w14:textId="3A68E1A4" w:rsidR="003F2171" w:rsidRPr="00A53556" w:rsidRDefault="003F2171" w:rsidP="003F2171">
            <w:pPr>
              <w:rPr>
                <w:bCs/>
              </w:rPr>
            </w:pPr>
            <w:r w:rsidRPr="00A53556">
              <w:rPr>
                <w:b/>
                <w:bCs/>
              </w:rPr>
              <w:t>Parcel No.:</w:t>
            </w:r>
          </w:p>
          <w:p w14:paraId="1868B6CD" w14:textId="2CC1ABF5" w:rsidR="007A7C0B" w:rsidRPr="00A53556" w:rsidRDefault="007A7C0B" w:rsidP="003F2171">
            <w:pPr>
              <w:rPr>
                <w:bCs/>
              </w:rPr>
            </w:pP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</w:tr>
      <w:tr w:rsidR="00C713F9" w:rsidRPr="00A53556" w14:paraId="1868B6D3" w14:textId="77777777" w:rsidTr="000D580E">
        <w:trPr>
          <w:trHeight w:val="360"/>
        </w:trPr>
        <w:tc>
          <w:tcPr>
            <w:tcW w:w="7290" w:type="dxa"/>
          </w:tcPr>
          <w:p w14:paraId="38443E29" w14:textId="3D9F57E1" w:rsidR="00C713F9" w:rsidRPr="00A53556" w:rsidRDefault="00C713F9" w:rsidP="003F2171">
            <w:pPr>
              <w:rPr>
                <w:bCs/>
              </w:rPr>
            </w:pPr>
            <w:r w:rsidRPr="00A53556">
              <w:rPr>
                <w:b/>
                <w:bCs/>
              </w:rPr>
              <w:t>Displaced Person(s):</w:t>
            </w:r>
          </w:p>
          <w:p w14:paraId="1868B6D1" w14:textId="1F425822" w:rsidR="00C713F9" w:rsidRPr="00A53556" w:rsidRDefault="007A7C0B" w:rsidP="003F2171">
            <w:pPr>
              <w:rPr>
                <w:bCs/>
              </w:rPr>
            </w:pP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3690" w:type="dxa"/>
          </w:tcPr>
          <w:p w14:paraId="0203BEEC" w14:textId="77777777" w:rsidR="00C713F9" w:rsidRPr="00A53556" w:rsidRDefault="00C713F9" w:rsidP="003F2171">
            <w:pPr>
              <w:rPr>
                <w:bCs/>
              </w:rPr>
            </w:pPr>
            <w:r w:rsidRPr="00A53556">
              <w:rPr>
                <w:b/>
                <w:bCs/>
              </w:rPr>
              <w:t>Displacee No.:</w:t>
            </w:r>
          </w:p>
          <w:p w14:paraId="1868B6D2" w14:textId="64C021EC" w:rsidR="007A7C0B" w:rsidRPr="00A53556" w:rsidRDefault="007A7C0B" w:rsidP="003F2171">
            <w:pPr>
              <w:rPr>
                <w:bCs/>
              </w:rPr>
            </w:pP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</w:tr>
    </w:tbl>
    <w:p w14:paraId="1868B6D4" w14:textId="77777777" w:rsidR="003F2171" w:rsidRPr="00A53556" w:rsidRDefault="003F2171" w:rsidP="008C7BF1">
      <w:pPr>
        <w:ind w:right="-318"/>
      </w:pP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800"/>
        <w:gridCol w:w="3870"/>
        <w:gridCol w:w="1800"/>
      </w:tblGrid>
      <w:tr w:rsidR="0046100A" w:rsidRPr="00A53556" w14:paraId="1868B6D9" w14:textId="77777777" w:rsidTr="000D580E">
        <w:tc>
          <w:tcPr>
            <w:tcW w:w="3510" w:type="dxa"/>
          </w:tcPr>
          <w:p w14:paraId="1868B6D5" w14:textId="77777777" w:rsidR="008C7BF1" w:rsidRPr="00A53556" w:rsidRDefault="005D4D8E" w:rsidP="00244A36">
            <w:pPr>
              <w:ind w:right="-318"/>
            </w:pPr>
            <w:r w:rsidRPr="00A53556">
              <w:t xml:space="preserve">Most </w:t>
            </w:r>
            <w:r w:rsidR="008C7BF1" w:rsidRPr="00A53556">
              <w:t>Comparable List Price</w:t>
            </w:r>
          </w:p>
        </w:tc>
        <w:tc>
          <w:tcPr>
            <w:tcW w:w="1800" w:type="dxa"/>
          </w:tcPr>
          <w:p w14:paraId="1868B6D6" w14:textId="2010C5A8" w:rsidR="008C7BF1" w:rsidRPr="00A53556" w:rsidRDefault="008C7BF1" w:rsidP="007A7C0B">
            <w:pPr>
              <w:ind w:right="-318"/>
            </w:pPr>
            <w:r w:rsidRPr="00A53556">
              <w:t>$</w:t>
            </w:r>
            <w:r w:rsidR="007A7C0B"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C0B"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="007A7C0B" w:rsidRPr="00A53556">
              <w:rPr>
                <w:b/>
                <w:bCs/>
                <w:highlight w:val="darkGray"/>
              </w:rPr>
            </w:r>
            <w:r w:rsidR="007A7C0B" w:rsidRPr="00A53556">
              <w:rPr>
                <w:b/>
                <w:bCs/>
                <w:highlight w:val="darkGray"/>
              </w:rPr>
              <w:fldChar w:fldCharType="separate"/>
            </w:r>
            <w:r w:rsidR="007A7C0B" w:rsidRPr="00A53556">
              <w:rPr>
                <w:b/>
                <w:bCs/>
                <w:noProof/>
                <w:highlight w:val="darkGray"/>
              </w:rPr>
              <w:t> </w:t>
            </w:r>
            <w:r w:rsidR="007A7C0B" w:rsidRPr="00A53556">
              <w:rPr>
                <w:b/>
                <w:bCs/>
                <w:noProof/>
                <w:highlight w:val="darkGray"/>
              </w:rPr>
              <w:t> </w:t>
            </w:r>
            <w:r w:rsidR="007A7C0B" w:rsidRPr="00A53556">
              <w:rPr>
                <w:b/>
                <w:bCs/>
                <w:noProof/>
                <w:highlight w:val="darkGray"/>
              </w:rPr>
              <w:t> </w:t>
            </w:r>
            <w:r w:rsidR="007A7C0B" w:rsidRPr="00A53556">
              <w:rPr>
                <w:b/>
                <w:bCs/>
                <w:noProof/>
                <w:highlight w:val="darkGray"/>
              </w:rPr>
              <w:t> </w:t>
            </w:r>
            <w:r w:rsidR="007A7C0B" w:rsidRPr="00A53556">
              <w:rPr>
                <w:b/>
                <w:bCs/>
                <w:noProof/>
                <w:highlight w:val="darkGray"/>
              </w:rPr>
              <w:t> </w:t>
            </w:r>
            <w:r w:rsidR="007A7C0B"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3870" w:type="dxa"/>
          </w:tcPr>
          <w:p w14:paraId="1868B6D7" w14:textId="21AAAF26" w:rsidR="008C7BF1" w:rsidRPr="00A53556" w:rsidRDefault="00625969" w:rsidP="00381957">
            <w:pPr>
              <w:ind w:right="-318"/>
            </w:pPr>
            <w:r w:rsidRPr="00A53556">
              <w:t>Replacement Dwelling Purchase Price</w:t>
            </w:r>
          </w:p>
        </w:tc>
        <w:tc>
          <w:tcPr>
            <w:tcW w:w="1800" w:type="dxa"/>
          </w:tcPr>
          <w:p w14:paraId="1868B6D8" w14:textId="6717516B" w:rsidR="008C7BF1" w:rsidRPr="00A53556" w:rsidRDefault="00625969" w:rsidP="00244A36">
            <w:pPr>
              <w:ind w:right="-318"/>
            </w:pPr>
            <w:r w:rsidRPr="00A53556">
              <w:t>$</w:t>
            </w:r>
            <w:r w:rsidR="007A7C0B"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C0B"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="007A7C0B" w:rsidRPr="00A53556">
              <w:rPr>
                <w:b/>
                <w:bCs/>
                <w:highlight w:val="darkGray"/>
              </w:rPr>
            </w:r>
            <w:r w:rsidR="007A7C0B" w:rsidRPr="00A53556">
              <w:rPr>
                <w:b/>
                <w:bCs/>
                <w:highlight w:val="darkGray"/>
              </w:rPr>
              <w:fldChar w:fldCharType="separate"/>
            </w:r>
            <w:r w:rsidR="007A7C0B" w:rsidRPr="00A53556">
              <w:rPr>
                <w:b/>
                <w:bCs/>
                <w:noProof/>
                <w:highlight w:val="darkGray"/>
              </w:rPr>
              <w:t> </w:t>
            </w:r>
            <w:r w:rsidR="007A7C0B" w:rsidRPr="00A53556">
              <w:rPr>
                <w:b/>
                <w:bCs/>
                <w:noProof/>
                <w:highlight w:val="darkGray"/>
              </w:rPr>
              <w:t> </w:t>
            </w:r>
            <w:r w:rsidR="007A7C0B" w:rsidRPr="00A53556">
              <w:rPr>
                <w:b/>
                <w:bCs/>
                <w:noProof/>
                <w:highlight w:val="darkGray"/>
              </w:rPr>
              <w:t> </w:t>
            </w:r>
            <w:r w:rsidR="007A7C0B" w:rsidRPr="00A53556">
              <w:rPr>
                <w:b/>
                <w:bCs/>
                <w:noProof/>
                <w:highlight w:val="darkGray"/>
              </w:rPr>
              <w:t> </w:t>
            </w:r>
            <w:r w:rsidR="007A7C0B" w:rsidRPr="00A53556">
              <w:rPr>
                <w:b/>
                <w:bCs/>
                <w:noProof/>
                <w:highlight w:val="darkGray"/>
              </w:rPr>
              <w:t> </w:t>
            </w:r>
            <w:r w:rsidR="007A7C0B" w:rsidRPr="00A53556">
              <w:rPr>
                <w:b/>
                <w:bCs/>
                <w:highlight w:val="darkGray"/>
              </w:rPr>
              <w:fldChar w:fldCharType="end"/>
            </w:r>
          </w:p>
        </w:tc>
      </w:tr>
      <w:tr w:rsidR="0046100A" w:rsidRPr="00A53556" w14:paraId="1868B6DE" w14:textId="77777777" w:rsidTr="000D580E">
        <w:tc>
          <w:tcPr>
            <w:tcW w:w="3510" w:type="dxa"/>
          </w:tcPr>
          <w:p w14:paraId="1868B6DA" w14:textId="1E6644EC" w:rsidR="008C7BF1" w:rsidRPr="00A53556" w:rsidRDefault="00625969" w:rsidP="00244A36">
            <w:pPr>
              <w:ind w:right="-318"/>
            </w:pPr>
            <w:r w:rsidRPr="00A53556">
              <w:t>Remaining Term on Old Mortgage</w:t>
            </w:r>
          </w:p>
        </w:tc>
        <w:tc>
          <w:tcPr>
            <w:tcW w:w="1800" w:type="dxa"/>
          </w:tcPr>
          <w:p w14:paraId="1868B6DB" w14:textId="48C9DEE1" w:rsidR="008C7BF1" w:rsidRPr="00A53556" w:rsidRDefault="007A7C0B" w:rsidP="00244A36">
            <w:pPr>
              <w:ind w:right="-318"/>
            </w:pP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3870" w:type="dxa"/>
          </w:tcPr>
          <w:p w14:paraId="1868B6DC" w14:textId="77777777" w:rsidR="008C7BF1" w:rsidRPr="00A53556" w:rsidRDefault="008C7BF1" w:rsidP="00244A36">
            <w:pPr>
              <w:ind w:right="-318"/>
            </w:pPr>
            <w:r w:rsidRPr="00A53556">
              <w:t>Length of New Mortgage</w:t>
            </w:r>
          </w:p>
        </w:tc>
        <w:tc>
          <w:tcPr>
            <w:tcW w:w="1800" w:type="dxa"/>
          </w:tcPr>
          <w:p w14:paraId="1868B6DD" w14:textId="64C61BA3" w:rsidR="008C7BF1" w:rsidRPr="00A53556" w:rsidRDefault="007A7C0B" w:rsidP="00244A36">
            <w:pPr>
              <w:ind w:right="-318"/>
            </w:pP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</w:tr>
      <w:tr w:rsidR="0046100A" w:rsidRPr="00A53556" w14:paraId="1868B6E3" w14:textId="77777777" w:rsidTr="000D580E">
        <w:tc>
          <w:tcPr>
            <w:tcW w:w="3510" w:type="dxa"/>
          </w:tcPr>
          <w:p w14:paraId="1868B6DF" w14:textId="3842DDC8" w:rsidR="008C7BF1" w:rsidRPr="00A53556" w:rsidRDefault="00625969" w:rsidP="00244A36">
            <w:pPr>
              <w:ind w:right="-318"/>
            </w:pPr>
            <w:r w:rsidRPr="00A53556">
              <w:t>Old Mortgage Balance</w:t>
            </w:r>
          </w:p>
        </w:tc>
        <w:tc>
          <w:tcPr>
            <w:tcW w:w="1800" w:type="dxa"/>
          </w:tcPr>
          <w:p w14:paraId="1868B6E0" w14:textId="58A924A5" w:rsidR="008C7BF1" w:rsidRPr="00A53556" w:rsidRDefault="00625969" w:rsidP="00244A36">
            <w:pPr>
              <w:ind w:right="-318"/>
            </w:pPr>
            <w:r w:rsidRPr="00A53556">
              <w:t>$</w:t>
            </w:r>
            <w:r w:rsidR="007A7C0B"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C0B"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="007A7C0B" w:rsidRPr="00A53556">
              <w:rPr>
                <w:b/>
                <w:bCs/>
                <w:highlight w:val="darkGray"/>
              </w:rPr>
            </w:r>
            <w:r w:rsidR="007A7C0B" w:rsidRPr="00A53556">
              <w:rPr>
                <w:b/>
                <w:bCs/>
                <w:highlight w:val="darkGray"/>
              </w:rPr>
              <w:fldChar w:fldCharType="separate"/>
            </w:r>
            <w:r w:rsidR="007A7C0B" w:rsidRPr="00A53556">
              <w:rPr>
                <w:b/>
                <w:bCs/>
                <w:noProof/>
                <w:highlight w:val="darkGray"/>
              </w:rPr>
              <w:t> </w:t>
            </w:r>
            <w:r w:rsidR="007A7C0B" w:rsidRPr="00A53556">
              <w:rPr>
                <w:b/>
                <w:bCs/>
                <w:noProof/>
                <w:highlight w:val="darkGray"/>
              </w:rPr>
              <w:t> </w:t>
            </w:r>
            <w:r w:rsidR="007A7C0B" w:rsidRPr="00A53556">
              <w:rPr>
                <w:b/>
                <w:bCs/>
                <w:noProof/>
                <w:highlight w:val="darkGray"/>
              </w:rPr>
              <w:t> </w:t>
            </w:r>
            <w:r w:rsidR="007A7C0B" w:rsidRPr="00A53556">
              <w:rPr>
                <w:b/>
                <w:bCs/>
                <w:noProof/>
                <w:highlight w:val="darkGray"/>
              </w:rPr>
              <w:t> </w:t>
            </w:r>
            <w:r w:rsidR="007A7C0B" w:rsidRPr="00A53556">
              <w:rPr>
                <w:b/>
                <w:bCs/>
                <w:noProof/>
                <w:highlight w:val="darkGray"/>
              </w:rPr>
              <w:t> </w:t>
            </w:r>
            <w:r w:rsidR="007A7C0B"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3870" w:type="dxa"/>
          </w:tcPr>
          <w:p w14:paraId="1868B6E1" w14:textId="78431739" w:rsidR="008C7BF1" w:rsidRPr="00A53556" w:rsidRDefault="00625969" w:rsidP="00244A36">
            <w:pPr>
              <w:ind w:right="-318"/>
            </w:pPr>
            <w:r w:rsidRPr="00A53556">
              <w:t xml:space="preserve">New </w:t>
            </w:r>
            <w:r w:rsidR="008C7BF1" w:rsidRPr="00A53556">
              <w:t>Mortgage Balance</w:t>
            </w:r>
          </w:p>
        </w:tc>
        <w:tc>
          <w:tcPr>
            <w:tcW w:w="1800" w:type="dxa"/>
          </w:tcPr>
          <w:p w14:paraId="1868B6E2" w14:textId="2B722FB2" w:rsidR="008C7BF1" w:rsidRPr="00A53556" w:rsidRDefault="008C7BF1" w:rsidP="00244A36">
            <w:pPr>
              <w:ind w:right="-318"/>
            </w:pPr>
            <w:r w:rsidRPr="00A53556">
              <w:t>$</w:t>
            </w:r>
            <w:r w:rsidR="007A7C0B"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C0B"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="007A7C0B" w:rsidRPr="00A53556">
              <w:rPr>
                <w:b/>
                <w:bCs/>
                <w:highlight w:val="darkGray"/>
              </w:rPr>
            </w:r>
            <w:r w:rsidR="007A7C0B" w:rsidRPr="00A53556">
              <w:rPr>
                <w:b/>
                <w:bCs/>
                <w:highlight w:val="darkGray"/>
              </w:rPr>
              <w:fldChar w:fldCharType="separate"/>
            </w:r>
            <w:r w:rsidR="007A7C0B" w:rsidRPr="00A53556">
              <w:rPr>
                <w:b/>
                <w:bCs/>
                <w:noProof/>
                <w:highlight w:val="darkGray"/>
              </w:rPr>
              <w:t> </w:t>
            </w:r>
            <w:r w:rsidR="007A7C0B" w:rsidRPr="00A53556">
              <w:rPr>
                <w:b/>
                <w:bCs/>
                <w:noProof/>
                <w:highlight w:val="darkGray"/>
              </w:rPr>
              <w:t> </w:t>
            </w:r>
            <w:r w:rsidR="007A7C0B" w:rsidRPr="00A53556">
              <w:rPr>
                <w:b/>
                <w:bCs/>
                <w:noProof/>
                <w:highlight w:val="darkGray"/>
              </w:rPr>
              <w:t> </w:t>
            </w:r>
            <w:r w:rsidR="007A7C0B" w:rsidRPr="00A53556">
              <w:rPr>
                <w:b/>
                <w:bCs/>
                <w:noProof/>
                <w:highlight w:val="darkGray"/>
              </w:rPr>
              <w:t> </w:t>
            </w:r>
            <w:r w:rsidR="007A7C0B" w:rsidRPr="00A53556">
              <w:rPr>
                <w:b/>
                <w:bCs/>
                <w:noProof/>
                <w:highlight w:val="darkGray"/>
              </w:rPr>
              <w:t> </w:t>
            </w:r>
            <w:r w:rsidR="007A7C0B" w:rsidRPr="00A53556">
              <w:rPr>
                <w:b/>
                <w:bCs/>
                <w:highlight w:val="darkGray"/>
              </w:rPr>
              <w:fldChar w:fldCharType="end"/>
            </w:r>
          </w:p>
        </w:tc>
      </w:tr>
      <w:tr w:rsidR="0046100A" w:rsidRPr="00A53556" w14:paraId="1868B6E8" w14:textId="77777777" w:rsidTr="000D580E">
        <w:tc>
          <w:tcPr>
            <w:tcW w:w="3510" w:type="dxa"/>
          </w:tcPr>
          <w:p w14:paraId="1868B6E4" w14:textId="77777777" w:rsidR="00AC48CE" w:rsidRPr="00A53556" w:rsidRDefault="00AC48CE" w:rsidP="00244A36">
            <w:pPr>
              <w:ind w:right="-318"/>
            </w:pPr>
            <w:r w:rsidRPr="00A53556">
              <w:t>Old Interest Rate</w:t>
            </w:r>
          </w:p>
        </w:tc>
        <w:tc>
          <w:tcPr>
            <w:tcW w:w="1800" w:type="dxa"/>
          </w:tcPr>
          <w:p w14:paraId="1868B6E5" w14:textId="569C89D8" w:rsidR="00AC48CE" w:rsidRPr="00A53556" w:rsidRDefault="007A7C0B" w:rsidP="00244A36">
            <w:pPr>
              <w:ind w:right="-318"/>
            </w:pP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3870" w:type="dxa"/>
          </w:tcPr>
          <w:p w14:paraId="1868B6E6" w14:textId="77777777" w:rsidR="00AC48CE" w:rsidRPr="00A53556" w:rsidRDefault="00AC48CE" w:rsidP="00244A36">
            <w:pPr>
              <w:ind w:right="-318"/>
            </w:pPr>
            <w:r w:rsidRPr="00A53556">
              <w:t>New Interest Rate</w:t>
            </w:r>
          </w:p>
        </w:tc>
        <w:tc>
          <w:tcPr>
            <w:tcW w:w="1800" w:type="dxa"/>
          </w:tcPr>
          <w:p w14:paraId="1868B6E7" w14:textId="4E60F690" w:rsidR="00AC48CE" w:rsidRPr="00A53556" w:rsidRDefault="007A7C0B" w:rsidP="00244A36">
            <w:pPr>
              <w:ind w:right="-318"/>
            </w:pP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</w:tr>
    </w:tbl>
    <w:p w14:paraId="1868B6E9" w14:textId="77777777" w:rsidR="00597FBF" w:rsidRPr="00A53556" w:rsidRDefault="00597FBF" w:rsidP="000D580E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14:paraId="1868B6EA" w14:textId="3994AE4D" w:rsidR="00597FBF" w:rsidRPr="00A53556" w:rsidRDefault="00597FBF" w:rsidP="003C6B61">
      <w:pPr>
        <w:pStyle w:val="BodyText"/>
        <w:jc w:val="both"/>
      </w:pPr>
      <w:r w:rsidRPr="00A53556">
        <w:t xml:space="preserve">Incidental Expenses are those reasonable expenses actually incurred by the displaced person </w:t>
      </w:r>
      <w:r w:rsidR="000D580E" w:rsidRPr="00A53556">
        <w:t>related</w:t>
      </w:r>
      <w:r w:rsidRPr="00A53556">
        <w:t xml:space="preserve"> to the purchase of a replacement </w:t>
      </w:r>
      <w:r w:rsidR="00243536" w:rsidRPr="00A53556">
        <w:t>property</w:t>
      </w:r>
      <w:r w:rsidRPr="00A53556">
        <w:t xml:space="preserve"> and customarily paid by the buyer. </w:t>
      </w:r>
      <w:r w:rsidR="000D580E" w:rsidRPr="00A53556">
        <w:t>These incidental</w:t>
      </w:r>
      <w:r w:rsidRPr="00A53556">
        <w:t xml:space="preserve"> expenses </w:t>
      </w:r>
      <w:r w:rsidR="000D580E" w:rsidRPr="00A53556">
        <w:t>are limited as indicated below.</w:t>
      </w:r>
    </w:p>
    <w:p w14:paraId="17EF97CB" w14:textId="77777777" w:rsidR="000D580E" w:rsidRPr="00A53556" w:rsidRDefault="000D580E" w:rsidP="003C6B61">
      <w:pPr>
        <w:pStyle w:val="BodyText"/>
        <w:jc w:val="both"/>
      </w:pPr>
    </w:p>
    <w:p w14:paraId="1868B6EB" w14:textId="5FD01565" w:rsidR="00597FBF" w:rsidRPr="00A53556" w:rsidRDefault="00597FBF" w:rsidP="003C6B61">
      <w:pPr>
        <w:pStyle w:val="BodyText"/>
        <w:jc w:val="both"/>
      </w:pPr>
      <w:r w:rsidRPr="00A53556">
        <w:t xml:space="preserve">Incidental purchase expenses are determined from a copy of the </w:t>
      </w:r>
      <w:r w:rsidR="003E22D9" w:rsidRPr="00A53556">
        <w:t xml:space="preserve">estimated </w:t>
      </w:r>
      <w:r w:rsidR="008C567A">
        <w:t>closing</w:t>
      </w:r>
      <w:r w:rsidRPr="00A53556">
        <w:t xml:space="preserve"> statement and verified from a copy of the final</w:t>
      </w:r>
      <w:r w:rsidR="008C567A">
        <w:t xml:space="preserve"> certified closing</w:t>
      </w:r>
      <w:r w:rsidR="003E22D9" w:rsidRPr="00A53556">
        <w:t xml:space="preserve"> </w:t>
      </w:r>
      <w:r w:rsidRPr="00A53556">
        <w:t xml:space="preserve">statement. Communication with lender and </w:t>
      </w:r>
      <w:r w:rsidR="00CA245E" w:rsidRPr="00A53556">
        <w:t>escrow/title company</w:t>
      </w:r>
      <w:r w:rsidRPr="00A53556">
        <w:t xml:space="preserve"> is required for an accurate and successful transaction.</w:t>
      </w:r>
    </w:p>
    <w:p w14:paraId="1868B6EC" w14:textId="77777777" w:rsidR="00597FBF" w:rsidRPr="00A53556" w:rsidRDefault="00597FBF" w:rsidP="003C6B61">
      <w:pPr>
        <w:pStyle w:val="BodyText"/>
        <w:jc w:val="both"/>
      </w:pPr>
    </w:p>
    <w:p w14:paraId="1868B6ED" w14:textId="51064110" w:rsidR="00597FBF" w:rsidRPr="00A53556" w:rsidRDefault="00597FBF" w:rsidP="003C6B61">
      <w:pPr>
        <w:pStyle w:val="BodyText"/>
        <w:spacing w:after="120"/>
        <w:jc w:val="both"/>
        <w:rPr>
          <w:b/>
          <w:bCs/>
          <w:i w:val="0"/>
          <w:iCs w:val="0"/>
        </w:rPr>
      </w:pPr>
      <w:r w:rsidRPr="00A53556">
        <w:rPr>
          <w:b/>
          <w:bCs/>
          <w:i w:val="0"/>
          <w:iCs w:val="0"/>
        </w:rPr>
        <w:t>Reimbursable Fees</w:t>
      </w:r>
      <w:r w:rsidR="000D580E" w:rsidRPr="00A53556">
        <w:rPr>
          <w:b/>
          <w:bCs/>
          <w:i w:val="0"/>
          <w:iCs w:val="0"/>
        </w:rPr>
        <w:t xml:space="preserve"> (100% Reimbursable)</w:t>
      </w:r>
      <w:r w:rsidRPr="00A53556">
        <w:rPr>
          <w:b/>
          <w:bCs/>
          <w:i w:val="0"/>
          <w:iCs w:val="0"/>
        </w:rPr>
        <w:t>:</w:t>
      </w:r>
    </w:p>
    <w:p w14:paraId="1868B6EF" w14:textId="7F18755C" w:rsidR="00597FBF" w:rsidRPr="00A53556" w:rsidRDefault="00597FBF" w:rsidP="003C6B61">
      <w:pPr>
        <w:pStyle w:val="BodyText"/>
        <w:numPr>
          <w:ilvl w:val="0"/>
          <w:numId w:val="1"/>
        </w:numPr>
        <w:tabs>
          <w:tab w:val="clear" w:pos="1440"/>
          <w:tab w:val="num" w:pos="1080"/>
        </w:tabs>
        <w:ind w:left="1080" w:hanging="360"/>
        <w:jc w:val="both"/>
        <w:rPr>
          <w:i w:val="0"/>
          <w:iCs w:val="0"/>
        </w:rPr>
      </w:pPr>
      <w:r w:rsidRPr="00A53556">
        <w:rPr>
          <w:i w:val="0"/>
          <w:iCs w:val="0"/>
        </w:rPr>
        <w:t>Recording Fees, Document Preparation, Home Inspection, Wire Fee, Tax Registration, Flood Inquiry, Notary Fee, Courier Fees, Attorney Fees, Ta</w:t>
      </w:r>
      <w:r w:rsidR="000D580E" w:rsidRPr="00A53556">
        <w:rPr>
          <w:i w:val="0"/>
          <w:iCs w:val="0"/>
        </w:rPr>
        <w:t>x Service Fee, Underwriting Fee</w:t>
      </w:r>
    </w:p>
    <w:p w14:paraId="1868B6F0" w14:textId="685B4E25" w:rsidR="00597FBF" w:rsidRPr="00A53556" w:rsidRDefault="00597FBF" w:rsidP="003C6B61">
      <w:pPr>
        <w:pStyle w:val="BodyText"/>
        <w:numPr>
          <w:ilvl w:val="0"/>
          <w:numId w:val="1"/>
        </w:numPr>
        <w:tabs>
          <w:tab w:val="clear" w:pos="1440"/>
          <w:tab w:val="num" w:pos="1080"/>
        </w:tabs>
        <w:ind w:left="1080" w:hanging="360"/>
        <w:jc w:val="both"/>
        <w:rPr>
          <w:i w:val="0"/>
          <w:iCs w:val="0"/>
        </w:rPr>
      </w:pPr>
      <w:r w:rsidRPr="00A53556">
        <w:rPr>
          <w:i w:val="0"/>
          <w:iCs w:val="0"/>
        </w:rPr>
        <w:t>Appraisal Fee, C</w:t>
      </w:r>
      <w:r w:rsidR="000D580E" w:rsidRPr="00A53556">
        <w:rPr>
          <w:i w:val="0"/>
          <w:iCs w:val="0"/>
        </w:rPr>
        <w:t>redit Report, Application Fees--</w:t>
      </w:r>
      <w:r w:rsidR="000D580E" w:rsidRPr="00A53556">
        <w:rPr>
          <w:b/>
          <w:i w:val="0"/>
          <w:iCs w:val="0"/>
        </w:rPr>
        <w:t xml:space="preserve"> if displacement property</w:t>
      </w:r>
      <w:r w:rsidRPr="00A53556">
        <w:rPr>
          <w:b/>
          <w:i w:val="0"/>
          <w:iCs w:val="0"/>
        </w:rPr>
        <w:t xml:space="preserve"> is encumbered by </w:t>
      </w:r>
      <w:r w:rsidR="000D580E" w:rsidRPr="00A53556">
        <w:rPr>
          <w:b/>
          <w:i w:val="0"/>
          <w:iCs w:val="0"/>
        </w:rPr>
        <w:t xml:space="preserve">a </w:t>
      </w:r>
      <w:r w:rsidRPr="00A53556">
        <w:rPr>
          <w:b/>
          <w:i w:val="0"/>
          <w:iCs w:val="0"/>
        </w:rPr>
        <w:t>mortgage</w:t>
      </w:r>
    </w:p>
    <w:p w14:paraId="1868B6F1" w14:textId="11D1C7DF" w:rsidR="00597FBF" w:rsidRPr="00A53556" w:rsidRDefault="00597FBF" w:rsidP="003C6B61">
      <w:pPr>
        <w:pStyle w:val="BodyText"/>
        <w:numPr>
          <w:ilvl w:val="0"/>
          <w:numId w:val="1"/>
        </w:numPr>
        <w:tabs>
          <w:tab w:val="clear" w:pos="1440"/>
          <w:tab w:val="num" w:pos="1080"/>
        </w:tabs>
        <w:ind w:left="1080" w:hanging="360"/>
        <w:jc w:val="both"/>
        <w:rPr>
          <w:i w:val="0"/>
          <w:iCs w:val="0"/>
        </w:rPr>
      </w:pPr>
      <w:r w:rsidRPr="00A53556">
        <w:rPr>
          <w:i w:val="0"/>
          <w:iCs w:val="0"/>
        </w:rPr>
        <w:t>Building Certif</w:t>
      </w:r>
      <w:r w:rsidR="000D580E" w:rsidRPr="00A53556">
        <w:rPr>
          <w:i w:val="0"/>
          <w:iCs w:val="0"/>
        </w:rPr>
        <w:t>ication &amp; Pest Inspection Fees--</w:t>
      </w:r>
      <w:r w:rsidRPr="00A53556">
        <w:rPr>
          <w:b/>
          <w:i w:val="0"/>
          <w:iCs w:val="0"/>
        </w:rPr>
        <w:t xml:space="preserve"> when required by the lender</w:t>
      </w:r>
    </w:p>
    <w:p w14:paraId="1868B6F2" w14:textId="77777777" w:rsidR="00597FBF" w:rsidRPr="00A53556" w:rsidRDefault="00597FBF" w:rsidP="003C6B61">
      <w:pPr>
        <w:pStyle w:val="BodyText"/>
        <w:tabs>
          <w:tab w:val="num" w:pos="1440"/>
        </w:tabs>
        <w:ind w:firstLine="720"/>
        <w:jc w:val="both"/>
        <w:rPr>
          <w:i w:val="0"/>
          <w:iCs w:val="0"/>
        </w:rPr>
      </w:pPr>
    </w:p>
    <w:p w14:paraId="1868B6F3" w14:textId="77777777" w:rsidR="00597FBF" w:rsidRPr="00A53556" w:rsidRDefault="00597FBF" w:rsidP="003C6B61">
      <w:pPr>
        <w:spacing w:after="120"/>
        <w:jc w:val="both"/>
        <w:rPr>
          <w:b/>
          <w:bCs/>
        </w:rPr>
      </w:pPr>
      <w:r w:rsidRPr="00A53556">
        <w:rPr>
          <w:b/>
          <w:bCs/>
        </w:rPr>
        <w:t>Limited Reimbursable Fees:</w:t>
      </w:r>
    </w:p>
    <w:p w14:paraId="1868B6F5" w14:textId="0A4FB075" w:rsidR="00597FBF" w:rsidRPr="00A53556" w:rsidRDefault="00597FBF" w:rsidP="003C6B61">
      <w:pPr>
        <w:numPr>
          <w:ilvl w:val="0"/>
          <w:numId w:val="1"/>
        </w:numPr>
        <w:tabs>
          <w:tab w:val="clear" w:pos="1440"/>
        </w:tabs>
        <w:ind w:left="1080" w:hanging="360"/>
        <w:jc w:val="both"/>
      </w:pPr>
      <w:r w:rsidRPr="00A53556">
        <w:t xml:space="preserve">Loan Origination or Assumption Fees (limited to the amount of the old or new mortgage, whichever </w:t>
      </w:r>
      <w:r w:rsidR="000D580E" w:rsidRPr="00A53556">
        <w:t>is less,</w:t>
      </w:r>
      <w:r w:rsidRPr="00A53556">
        <w:t xml:space="preserve"> cannot include any loan discount fees or points</w:t>
      </w:r>
      <w:r w:rsidR="00F56068" w:rsidRPr="00A53556">
        <w:t>,</w:t>
      </w:r>
      <w:r w:rsidRPr="00A53556">
        <w:t xml:space="preserve"> </w:t>
      </w:r>
      <w:r w:rsidR="009266F4" w:rsidRPr="00A53556">
        <w:t>i.e.,</w:t>
      </w:r>
      <w:r w:rsidRPr="00A53556">
        <w:t xml:space="preserve"> prepaid interest</w:t>
      </w:r>
      <w:r w:rsidR="000D580E" w:rsidRPr="00A53556">
        <w:t>)</w:t>
      </w:r>
    </w:p>
    <w:p w14:paraId="1868B6F6" w14:textId="110458C3" w:rsidR="00597FBF" w:rsidRPr="00A53556" w:rsidRDefault="00597FBF" w:rsidP="003C6B61">
      <w:pPr>
        <w:numPr>
          <w:ilvl w:val="0"/>
          <w:numId w:val="1"/>
        </w:numPr>
        <w:tabs>
          <w:tab w:val="clear" w:pos="1440"/>
        </w:tabs>
        <w:ind w:left="1080" w:hanging="360"/>
        <w:jc w:val="both"/>
      </w:pPr>
      <w:r w:rsidRPr="00A53556">
        <w:t>Lender’s Title Insurance (</w:t>
      </w:r>
      <w:r w:rsidR="008C567A">
        <w:t>amount necessary to purchase most comparable</w:t>
      </w:r>
      <w:r w:rsidR="000D580E" w:rsidRPr="00A53556">
        <w:t>)</w:t>
      </w:r>
    </w:p>
    <w:p w14:paraId="1868B6F7" w14:textId="1E13BA6F" w:rsidR="00597FBF" w:rsidRPr="00A53556" w:rsidRDefault="00597FBF" w:rsidP="003C6B61">
      <w:pPr>
        <w:numPr>
          <w:ilvl w:val="0"/>
          <w:numId w:val="1"/>
        </w:numPr>
        <w:tabs>
          <w:tab w:val="clear" w:pos="1440"/>
        </w:tabs>
        <w:ind w:left="1080" w:hanging="360"/>
        <w:jc w:val="both"/>
      </w:pPr>
      <w:r w:rsidRPr="00A53556">
        <w:t>Escrow Fee</w:t>
      </w:r>
      <w:r w:rsidR="000D580E" w:rsidRPr="00A53556">
        <w:t>/</w:t>
      </w:r>
      <w:r w:rsidRPr="00A53556">
        <w:t xml:space="preserve">Settlement Fee (limited to amount necessary to purchase </w:t>
      </w:r>
      <w:r w:rsidR="00AC48CE" w:rsidRPr="00A53556">
        <w:t>most</w:t>
      </w:r>
      <w:r w:rsidRPr="00A53556">
        <w:t xml:space="preserve"> comparable</w:t>
      </w:r>
      <w:r w:rsidR="000D580E" w:rsidRPr="00A53556">
        <w:t>)</w:t>
      </w:r>
    </w:p>
    <w:p w14:paraId="1868B6F8" w14:textId="6DDA003E" w:rsidR="00597FBF" w:rsidRPr="00A53556" w:rsidRDefault="00597FBF" w:rsidP="003C6B61">
      <w:pPr>
        <w:numPr>
          <w:ilvl w:val="0"/>
          <w:numId w:val="1"/>
        </w:numPr>
        <w:tabs>
          <w:tab w:val="clear" w:pos="1440"/>
        </w:tabs>
        <w:ind w:left="1080" w:hanging="360"/>
        <w:jc w:val="both"/>
      </w:pPr>
      <w:r w:rsidRPr="00A53556">
        <w:t xml:space="preserve">VA Funding Fee (limited to amount necessary to purchase </w:t>
      </w:r>
      <w:r w:rsidR="00AC48CE" w:rsidRPr="00A53556">
        <w:t>most</w:t>
      </w:r>
      <w:r w:rsidRPr="00A53556">
        <w:t xml:space="preserve"> comparable</w:t>
      </w:r>
      <w:r w:rsidR="000D580E" w:rsidRPr="00A53556">
        <w:t>)</w:t>
      </w:r>
    </w:p>
    <w:p w14:paraId="1868B6F9" w14:textId="52A08708" w:rsidR="00597FBF" w:rsidRPr="00A53556" w:rsidRDefault="00597FBF" w:rsidP="003C6B61">
      <w:pPr>
        <w:numPr>
          <w:ilvl w:val="0"/>
          <w:numId w:val="1"/>
        </w:numPr>
        <w:tabs>
          <w:tab w:val="clear" w:pos="1440"/>
        </w:tabs>
        <w:ind w:left="1080" w:hanging="360"/>
        <w:jc w:val="both"/>
      </w:pPr>
      <w:r w:rsidRPr="00A53556">
        <w:t>Increased Mortgage Interest Differential</w:t>
      </w:r>
    </w:p>
    <w:p w14:paraId="1868B6FA" w14:textId="5878DD12" w:rsidR="00597FBF" w:rsidRPr="00A53556" w:rsidRDefault="00597FBF" w:rsidP="003C6B61">
      <w:pPr>
        <w:pStyle w:val="BodyTextIndent"/>
        <w:numPr>
          <w:ilvl w:val="0"/>
          <w:numId w:val="1"/>
        </w:numPr>
        <w:tabs>
          <w:tab w:val="clear" w:pos="1440"/>
        </w:tabs>
        <w:ind w:left="1080" w:hanging="360"/>
        <w:jc w:val="both"/>
      </w:pPr>
      <w:r w:rsidRPr="00A53556">
        <w:t>Other Miscellaneous Fees (specify</w:t>
      </w:r>
      <w:r w:rsidR="00916C6C" w:rsidRPr="00A53556">
        <w:t>)</w:t>
      </w:r>
    </w:p>
    <w:p w14:paraId="1868B6FB" w14:textId="77777777" w:rsidR="00597FBF" w:rsidRPr="00A53556" w:rsidRDefault="00597FBF" w:rsidP="003C6B61">
      <w:pPr>
        <w:pStyle w:val="BodyTextIndent"/>
        <w:ind w:left="0" w:firstLine="0"/>
        <w:jc w:val="both"/>
      </w:pPr>
    </w:p>
    <w:p w14:paraId="1868B6FC" w14:textId="77777777" w:rsidR="00597FBF" w:rsidRPr="00A53556" w:rsidRDefault="00597FBF" w:rsidP="003C6B61">
      <w:pPr>
        <w:spacing w:after="120"/>
        <w:jc w:val="both"/>
        <w:rPr>
          <w:b/>
          <w:bCs/>
        </w:rPr>
      </w:pPr>
      <w:r w:rsidRPr="00A53556">
        <w:rPr>
          <w:b/>
          <w:bCs/>
        </w:rPr>
        <w:t>Non-reimbursable Fees:</w:t>
      </w:r>
    </w:p>
    <w:p w14:paraId="1868B6FE" w14:textId="6B8CB04B" w:rsidR="00597FBF" w:rsidRPr="00A53556" w:rsidRDefault="00597FBF" w:rsidP="003C6B61">
      <w:pPr>
        <w:pStyle w:val="BodyTextIndent2"/>
        <w:numPr>
          <w:ilvl w:val="0"/>
          <w:numId w:val="2"/>
        </w:numPr>
        <w:ind w:left="1080"/>
        <w:jc w:val="both"/>
        <w:rPr>
          <w:b/>
          <w:bCs/>
        </w:rPr>
      </w:pPr>
      <w:r w:rsidRPr="00A53556">
        <w:t xml:space="preserve">Prepaid or </w:t>
      </w:r>
      <w:r w:rsidR="009266F4" w:rsidRPr="00A53556">
        <w:t>Reserves,</w:t>
      </w:r>
      <w:r w:rsidRPr="00A53556">
        <w:t xml:space="preserve"> </w:t>
      </w:r>
      <w:r w:rsidR="009266F4" w:rsidRPr="00A53556">
        <w:t>i.e.,</w:t>
      </w:r>
      <w:r w:rsidRPr="00A53556">
        <w:t xml:space="preserve"> Interest, Hazard Insurance, Mortgage Insurance, Property Taxes, </w:t>
      </w:r>
      <w:r w:rsidR="00CA245E" w:rsidRPr="00A53556">
        <w:t xml:space="preserve">HOA, </w:t>
      </w:r>
      <w:r w:rsidRPr="00A53556">
        <w:t>etc.</w:t>
      </w:r>
    </w:p>
    <w:p w14:paraId="7912AAF7" w14:textId="35318B33" w:rsidR="00381957" w:rsidRPr="00A53556" w:rsidRDefault="00381957" w:rsidP="003C6B61">
      <w:pPr>
        <w:pBdr>
          <w:bottom w:val="single" w:sz="4" w:space="1" w:color="auto"/>
        </w:pBdr>
      </w:pPr>
    </w:p>
    <w:p w14:paraId="5C984390" w14:textId="0BD0B5F5" w:rsidR="00E42D80" w:rsidRPr="00A53556" w:rsidRDefault="00E42D80" w:rsidP="00E42D80">
      <w:pPr>
        <w:jc w:val="both"/>
        <w:rPr>
          <w:i/>
        </w:rPr>
      </w:pPr>
      <w:r w:rsidRPr="00A53556">
        <w:rPr>
          <w:i/>
        </w:rPr>
        <w:t xml:space="preserve">Prior to loan closing obtain preliminary </w:t>
      </w:r>
      <w:r w:rsidR="008C567A">
        <w:rPr>
          <w:i/>
        </w:rPr>
        <w:t>Closing</w:t>
      </w:r>
      <w:r w:rsidRPr="00A53556">
        <w:rPr>
          <w:i/>
        </w:rPr>
        <w:t xml:space="preserve"> statement – calculate estimated closing costs.  </w:t>
      </w:r>
      <w:r w:rsidR="009266F4" w:rsidRPr="00A53556">
        <w:rPr>
          <w:i/>
        </w:rPr>
        <w:t>To</w:t>
      </w:r>
      <w:r w:rsidRPr="00A53556">
        <w:rPr>
          <w:i/>
        </w:rPr>
        <w:t xml:space="preserve"> prevent an overpayment of incidental expenses it is recommended that the </w:t>
      </w:r>
      <w:r w:rsidR="007A7C0B" w:rsidRPr="00A53556">
        <w:rPr>
          <w:i/>
        </w:rPr>
        <w:t xml:space="preserve">relocation </w:t>
      </w:r>
      <w:r w:rsidRPr="00A53556">
        <w:rPr>
          <w:i/>
        </w:rPr>
        <w:t xml:space="preserve">specialist reduce the amount of incidental expenses paid into escrow </w:t>
      </w:r>
      <w:r w:rsidR="007A7C0B" w:rsidRPr="00A53556">
        <w:rPr>
          <w:i/>
        </w:rPr>
        <w:t xml:space="preserve">by </w:t>
      </w:r>
      <w:r w:rsidR="00770892" w:rsidRPr="00A53556">
        <w:rPr>
          <w:i/>
        </w:rPr>
        <w:t>10 to 20 percent</w:t>
      </w:r>
      <w:r w:rsidR="007A7C0B" w:rsidRPr="00A53556">
        <w:rPr>
          <w:i/>
        </w:rPr>
        <w:t>.</w:t>
      </w:r>
    </w:p>
    <w:p w14:paraId="5864C693" w14:textId="77777777" w:rsidR="00E42D80" w:rsidRPr="00A53556" w:rsidRDefault="00E42D80" w:rsidP="00E42D80">
      <w:pPr>
        <w:jc w:val="both"/>
        <w:rPr>
          <w:i/>
        </w:rPr>
      </w:pPr>
    </w:p>
    <w:p w14:paraId="2D22D862" w14:textId="1705FFCF" w:rsidR="00E42D80" w:rsidRPr="00A53556" w:rsidRDefault="00E42D80" w:rsidP="00E42D80">
      <w:pPr>
        <w:jc w:val="both"/>
        <w:rPr>
          <w:i/>
        </w:rPr>
      </w:pPr>
      <w:r w:rsidRPr="00A53556">
        <w:rPr>
          <w:i/>
        </w:rPr>
        <w:t xml:space="preserve">Once </w:t>
      </w:r>
      <w:r w:rsidR="00B95822" w:rsidRPr="00A53556">
        <w:rPr>
          <w:i/>
        </w:rPr>
        <w:t xml:space="preserve">the </w:t>
      </w:r>
      <w:r w:rsidRPr="00A53556">
        <w:rPr>
          <w:i/>
        </w:rPr>
        <w:t>loan is closed</w:t>
      </w:r>
      <w:r w:rsidR="00B95822" w:rsidRPr="00A53556">
        <w:rPr>
          <w:i/>
        </w:rPr>
        <w:t>,</w:t>
      </w:r>
      <w:r w:rsidRPr="00A53556">
        <w:rPr>
          <w:i/>
        </w:rPr>
        <w:t xml:space="preserve"> obtain certified</w:t>
      </w:r>
      <w:r w:rsidR="008C567A">
        <w:rPr>
          <w:i/>
        </w:rPr>
        <w:t xml:space="preserve"> Closing</w:t>
      </w:r>
      <w:r w:rsidRPr="00A53556">
        <w:rPr>
          <w:i/>
        </w:rPr>
        <w:t xml:space="preserve"> statement – perform a reconciliation of the final </w:t>
      </w:r>
      <w:r w:rsidR="008C567A">
        <w:rPr>
          <w:i/>
        </w:rPr>
        <w:t>closing costs</w:t>
      </w:r>
      <w:r w:rsidRPr="00A53556">
        <w:rPr>
          <w:i/>
        </w:rPr>
        <w:t xml:space="preserve"> to the preliminary</w:t>
      </w:r>
      <w:r w:rsidR="008C567A">
        <w:rPr>
          <w:i/>
        </w:rPr>
        <w:t xml:space="preserve"> closing </w:t>
      </w:r>
      <w:r w:rsidRPr="00A53556">
        <w:rPr>
          <w:i/>
        </w:rPr>
        <w:t xml:space="preserve">statement to verify </w:t>
      </w:r>
      <w:r w:rsidR="007A7C0B" w:rsidRPr="00A53556">
        <w:rPr>
          <w:i/>
        </w:rPr>
        <w:t>funds were applied correctly.</w:t>
      </w:r>
    </w:p>
    <w:p w14:paraId="2CD3FF6B" w14:textId="77777777" w:rsidR="00E42D80" w:rsidRPr="00A53556" w:rsidRDefault="00E42D80" w:rsidP="00E42D80"/>
    <w:tbl>
      <w:tblPr>
        <w:tblStyle w:val="TableGrid"/>
        <w:tblW w:w="107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3"/>
        <w:gridCol w:w="1440"/>
        <w:gridCol w:w="1867"/>
        <w:gridCol w:w="1283"/>
        <w:gridCol w:w="1687"/>
        <w:gridCol w:w="2340"/>
      </w:tblGrid>
      <w:tr w:rsidR="007A7C0B" w:rsidRPr="00A53556" w14:paraId="6CD9473D" w14:textId="77777777" w:rsidTr="00A53556">
        <w:tc>
          <w:tcPr>
            <w:tcW w:w="2093" w:type="dxa"/>
            <w:shd w:val="clear" w:color="auto" w:fill="C6D9F1" w:themeFill="text2" w:themeFillTint="33"/>
          </w:tcPr>
          <w:p w14:paraId="28B3A503" w14:textId="77777777" w:rsidR="007A7C0B" w:rsidRPr="00A53556" w:rsidRDefault="007A7C0B" w:rsidP="00F91EA2">
            <w:pPr>
              <w:jc w:val="center"/>
              <w:rPr>
                <w:b/>
              </w:rPr>
            </w:pPr>
            <w:r w:rsidRPr="00A53556">
              <w:rPr>
                <w:b/>
              </w:rPr>
              <w:t>Settlement Costs</w:t>
            </w:r>
          </w:p>
        </w:tc>
        <w:tc>
          <w:tcPr>
            <w:tcW w:w="1440" w:type="dxa"/>
            <w:shd w:val="clear" w:color="auto" w:fill="C6D9F1" w:themeFill="text2" w:themeFillTint="33"/>
          </w:tcPr>
          <w:p w14:paraId="0ECE2ECC" w14:textId="77777777" w:rsidR="007A7C0B" w:rsidRPr="00A53556" w:rsidRDefault="007A7C0B" w:rsidP="00F91EA2">
            <w:pPr>
              <w:jc w:val="center"/>
              <w:rPr>
                <w:b/>
              </w:rPr>
            </w:pPr>
            <w:r w:rsidRPr="00A53556">
              <w:rPr>
                <w:b/>
              </w:rPr>
              <w:t>Estimated Costs</w:t>
            </w:r>
          </w:p>
        </w:tc>
        <w:tc>
          <w:tcPr>
            <w:tcW w:w="1867" w:type="dxa"/>
            <w:shd w:val="clear" w:color="auto" w:fill="C6D9F1" w:themeFill="text2" w:themeFillTint="33"/>
          </w:tcPr>
          <w:p w14:paraId="16E5FF42" w14:textId="77777777" w:rsidR="007A7C0B" w:rsidRPr="00A53556" w:rsidRDefault="007A7C0B" w:rsidP="00F91EA2">
            <w:pPr>
              <w:jc w:val="center"/>
              <w:rPr>
                <w:b/>
              </w:rPr>
            </w:pPr>
            <w:r w:rsidRPr="00A53556">
              <w:rPr>
                <w:b/>
              </w:rPr>
              <w:t>Estimated Reimbursement</w:t>
            </w:r>
          </w:p>
        </w:tc>
        <w:tc>
          <w:tcPr>
            <w:tcW w:w="1283" w:type="dxa"/>
            <w:shd w:val="clear" w:color="auto" w:fill="C6D9F1" w:themeFill="text2" w:themeFillTint="33"/>
          </w:tcPr>
          <w:p w14:paraId="107E54D5" w14:textId="77777777" w:rsidR="007A7C0B" w:rsidRPr="00A53556" w:rsidRDefault="007A7C0B" w:rsidP="00F91EA2">
            <w:pPr>
              <w:jc w:val="center"/>
              <w:rPr>
                <w:b/>
              </w:rPr>
            </w:pPr>
            <w:r w:rsidRPr="00A53556">
              <w:rPr>
                <w:b/>
              </w:rPr>
              <w:t>Final Costs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14:paraId="5989184A" w14:textId="77777777" w:rsidR="007A7C0B" w:rsidRPr="00A53556" w:rsidRDefault="007A7C0B" w:rsidP="00F91EA2">
            <w:pPr>
              <w:jc w:val="center"/>
              <w:rPr>
                <w:b/>
              </w:rPr>
            </w:pPr>
            <w:r w:rsidRPr="00A53556">
              <w:rPr>
                <w:b/>
              </w:rPr>
              <w:t>Final Reimbursable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14:paraId="7B75AF76" w14:textId="77777777" w:rsidR="007A7C0B" w:rsidRPr="00A53556" w:rsidRDefault="007A7C0B" w:rsidP="00F91EA2">
            <w:pPr>
              <w:jc w:val="center"/>
              <w:rPr>
                <w:b/>
              </w:rPr>
            </w:pPr>
            <w:r w:rsidRPr="00A53556">
              <w:rPr>
                <w:b/>
              </w:rPr>
              <w:t>Explanation</w:t>
            </w:r>
          </w:p>
        </w:tc>
      </w:tr>
      <w:tr w:rsidR="007A7C0B" w:rsidRPr="00A53556" w14:paraId="41C6057C" w14:textId="77777777" w:rsidTr="00A53556">
        <w:tc>
          <w:tcPr>
            <w:tcW w:w="2093" w:type="dxa"/>
          </w:tcPr>
          <w:p w14:paraId="668ED549" w14:textId="77777777" w:rsidR="007A7C0B" w:rsidRPr="00A53556" w:rsidRDefault="007A7C0B" w:rsidP="00F91EA2">
            <w:r w:rsidRPr="00A53556">
              <w:t>Loan Origination</w:t>
            </w:r>
          </w:p>
        </w:tc>
        <w:tc>
          <w:tcPr>
            <w:tcW w:w="1440" w:type="dxa"/>
          </w:tcPr>
          <w:p w14:paraId="1099418A" w14:textId="13DAEC71" w:rsidR="007A7C0B" w:rsidRPr="00A53556" w:rsidRDefault="007A7C0B" w:rsidP="00F91EA2">
            <w:r w:rsidRPr="00A53556">
              <w:t>$</w:t>
            </w:r>
            <w:r w:rsidR="00F91EA2"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1EA2"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="00F91EA2" w:rsidRPr="00A53556">
              <w:rPr>
                <w:b/>
                <w:bCs/>
                <w:highlight w:val="darkGray"/>
              </w:rPr>
            </w:r>
            <w:r w:rsidR="00F91EA2" w:rsidRPr="00A53556">
              <w:rPr>
                <w:b/>
                <w:bCs/>
                <w:highlight w:val="darkGray"/>
              </w:rPr>
              <w:fldChar w:fldCharType="separate"/>
            </w:r>
            <w:r w:rsidR="00F91EA2" w:rsidRPr="00A53556">
              <w:rPr>
                <w:b/>
                <w:bCs/>
                <w:noProof/>
                <w:highlight w:val="darkGray"/>
              </w:rPr>
              <w:t> </w:t>
            </w:r>
            <w:r w:rsidR="00F91EA2" w:rsidRPr="00A53556">
              <w:rPr>
                <w:b/>
                <w:bCs/>
                <w:noProof/>
                <w:highlight w:val="darkGray"/>
              </w:rPr>
              <w:t> </w:t>
            </w:r>
            <w:r w:rsidR="00F91EA2" w:rsidRPr="00A53556">
              <w:rPr>
                <w:b/>
                <w:bCs/>
                <w:noProof/>
                <w:highlight w:val="darkGray"/>
              </w:rPr>
              <w:t> </w:t>
            </w:r>
            <w:r w:rsidR="00F91EA2" w:rsidRPr="00A53556">
              <w:rPr>
                <w:b/>
                <w:bCs/>
                <w:noProof/>
                <w:highlight w:val="darkGray"/>
              </w:rPr>
              <w:t> </w:t>
            </w:r>
            <w:r w:rsidR="00F91EA2" w:rsidRPr="00A53556">
              <w:rPr>
                <w:b/>
                <w:bCs/>
                <w:noProof/>
                <w:highlight w:val="darkGray"/>
              </w:rPr>
              <w:t> </w:t>
            </w:r>
            <w:r w:rsidR="00F91EA2" w:rsidRPr="00A53556">
              <w:rPr>
                <w:b/>
                <w:bCs/>
                <w:highlight w:val="darkGray"/>
              </w:rPr>
              <w:fldChar w:fldCharType="end"/>
            </w:r>
            <w:r w:rsidRPr="00A53556">
              <w:fldChar w:fldCharType="begin"/>
            </w:r>
            <w:r w:rsidRPr="00A53556">
              <w:instrText xml:space="preserve">  </w:instrText>
            </w:r>
            <w:r w:rsidRPr="00A53556">
              <w:fldChar w:fldCharType="end"/>
            </w:r>
          </w:p>
        </w:tc>
        <w:tc>
          <w:tcPr>
            <w:tcW w:w="1867" w:type="dxa"/>
          </w:tcPr>
          <w:p w14:paraId="627413D0" w14:textId="621D6D94" w:rsidR="007A7C0B" w:rsidRPr="00A53556" w:rsidRDefault="007A7C0B" w:rsidP="00F91EA2">
            <w:r w:rsidRPr="00A53556">
              <w:t>$</w:t>
            </w:r>
            <w:r w:rsidR="00F91EA2"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1EA2"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="00F91EA2" w:rsidRPr="00A53556">
              <w:rPr>
                <w:b/>
                <w:bCs/>
                <w:highlight w:val="darkGray"/>
              </w:rPr>
            </w:r>
            <w:r w:rsidR="00F91EA2" w:rsidRPr="00A53556">
              <w:rPr>
                <w:b/>
                <w:bCs/>
                <w:highlight w:val="darkGray"/>
              </w:rPr>
              <w:fldChar w:fldCharType="separate"/>
            </w:r>
            <w:r w:rsidR="00F91EA2" w:rsidRPr="00A53556">
              <w:rPr>
                <w:b/>
                <w:bCs/>
                <w:noProof/>
                <w:highlight w:val="darkGray"/>
              </w:rPr>
              <w:t> </w:t>
            </w:r>
            <w:r w:rsidR="00F91EA2" w:rsidRPr="00A53556">
              <w:rPr>
                <w:b/>
                <w:bCs/>
                <w:noProof/>
                <w:highlight w:val="darkGray"/>
              </w:rPr>
              <w:t> </w:t>
            </w:r>
            <w:r w:rsidR="00F91EA2" w:rsidRPr="00A53556">
              <w:rPr>
                <w:b/>
                <w:bCs/>
                <w:noProof/>
                <w:highlight w:val="darkGray"/>
              </w:rPr>
              <w:t> </w:t>
            </w:r>
            <w:r w:rsidR="00F91EA2" w:rsidRPr="00A53556">
              <w:rPr>
                <w:b/>
                <w:bCs/>
                <w:noProof/>
                <w:highlight w:val="darkGray"/>
              </w:rPr>
              <w:t> </w:t>
            </w:r>
            <w:r w:rsidR="00F91EA2" w:rsidRPr="00A53556">
              <w:rPr>
                <w:b/>
                <w:bCs/>
                <w:noProof/>
                <w:highlight w:val="darkGray"/>
              </w:rPr>
              <w:t> </w:t>
            </w:r>
            <w:r w:rsidR="00F91EA2" w:rsidRPr="00A53556">
              <w:rPr>
                <w:b/>
                <w:bCs/>
                <w:highlight w:val="darkGray"/>
              </w:rPr>
              <w:fldChar w:fldCharType="end"/>
            </w:r>
            <w:r w:rsidRPr="00A53556">
              <w:fldChar w:fldCharType="begin"/>
            </w:r>
            <w:r w:rsidRPr="00A53556">
              <w:instrText xml:space="preserve">  </w:instrText>
            </w:r>
            <w:r w:rsidRPr="00A53556">
              <w:fldChar w:fldCharType="end"/>
            </w:r>
          </w:p>
        </w:tc>
        <w:tc>
          <w:tcPr>
            <w:tcW w:w="1283" w:type="dxa"/>
          </w:tcPr>
          <w:p w14:paraId="1A28F3BF" w14:textId="28228095" w:rsidR="007A7C0B" w:rsidRPr="00A53556" w:rsidRDefault="007A7C0B" w:rsidP="00F91EA2">
            <w:r w:rsidRPr="00A53556">
              <w:t>$</w:t>
            </w:r>
            <w:r w:rsidR="00F91EA2"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1EA2"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="00F91EA2" w:rsidRPr="00A53556">
              <w:rPr>
                <w:b/>
                <w:bCs/>
                <w:highlight w:val="darkGray"/>
              </w:rPr>
            </w:r>
            <w:r w:rsidR="00F91EA2" w:rsidRPr="00A53556">
              <w:rPr>
                <w:b/>
                <w:bCs/>
                <w:highlight w:val="darkGray"/>
              </w:rPr>
              <w:fldChar w:fldCharType="separate"/>
            </w:r>
            <w:r w:rsidR="00F91EA2" w:rsidRPr="00A53556">
              <w:rPr>
                <w:b/>
                <w:bCs/>
                <w:noProof/>
                <w:highlight w:val="darkGray"/>
              </w:rPr>
              <w:t> </w:t>
            </w:r>
            <w:r w:rsidR="00F91EA2" w:rsidRPr="00A53556">
              <w:rPr>
                <w:b/>
                <w:bCs/>
                <w:noProof/>
                <w:highlight w:val="darkGray"/>
              </w:rPr>
              <w:t> </w:t>
            </w:r>
            <w:r w:rsidR="00F91EA2" w:rsidRPr="00A53556">
              <w:rPr>
                <w:b/>
                <w:bCs/>
                <w:noProof/>
                <w:highlight w:val="darkGray"/>
              </w:rPr>
              <w:t> </w:t>
            </w:r>
            <w:r w:rsidR="00F91EA2" w:rsidRPr="00A53556">
              <w:rPr>
                <w:b/>
                <w:bCs/>
                <w:noProof/>
                <w:highlight w:val="darkGray"/>
              </w:rPr>
              <w:t> </w:t>
            </w:r>
            <w:r w:rsidR="00F91EA2" w:rsidRPr="00A53556">
              <w:rPr>
                <w:b/>
                <w:bCs/>
                <w:noProof/>
                <w:highlight w:val="darkGray"/>
              </w:rPr>
              <w:t> </w:t>
            </w:r>
            <w:r w:rsidR="00F91EA2"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301BB06B" w14:textId="3CE3E05B" w:rsidR="007A7C0B" w:rsidRPr="00A53556" w:rsidRDefault="007A7C0B" w:rsidP="00F91EA2">
            <w:r w:rsidRPr="00A53556">
              <w:t>$</w:t>
            </w:r>
            <w:r w:rsidR="00F91EA2"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1EA2"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="00F91EA2" w:rsidRPr="00A53556">
              <w:rPr>
                <w:b/>
                <w:bCs/>
                <w:highlight w:val="darkGray"/>
              </w:rPr>
            </w:r>
            <w:r w:rsidR="00F91EA2" w:rsidRPr="00A53556">
              <w:rPr>
                <w:b/>
                <w:bCs/>
                <w:highlight w:val="darkGray"/>
              </w:rPr>
              <w:fldChar w:fldCharType="separate"/>
            </w:r>
            <w:r w:rsidR="00F91EA2" w:rsidRPr="00A53556">
              <w:rPr>
                <w:b/>
                <w:bCs/>
                <w:noProof/>
                <w:highlight w:val="darkGray"/>
              </w:rPr>
              <w:t> </w:t>
            </w:r>
            <w:r w:rsidR="00F91EA2" w:rsidRPr="00A53556">
              <w:rPr>
                <w:b/>
                <w:bCs/>
                <w:noProof/>
                <w:highlight w:val="darkGray"/>
              </w:rPr>
              <w:t> </w:t>
            </w:r>
            <w:r w:rsidR="00F91EA2" w:rsidRPr="00A53556">
              <w:rPr>
                <w:b/>
                <w:bCs/>
                <w:noProof/>
                <w:highlight w:val="darkGray"/>
              </w:rPr>
              <w:t> </w:t>
            </w:r>
            <w:r w:rsidR="00F91EA2" w:rsidRPr="00A53556">
              <w:rPr>
                <w:b/>
                <w:bCs/>
                <w:noProof/>
                <w:highlight w:val="darkGray"/>
              </w:rPr>
              <w:t> </w:t>
            </w:r>
            <w:r w:rsidR="00F91EA2" w:rsidRPr="00A53556">
              <w:rPr>
                <w:b/>
                <w:bCs/>
                <w:noProof/>
                <w:highlight w:val="darkGray"/>
              </w:rPr>
              <w:t> </w:t>
            </w:r>
            <w:r w:rsidR="00F91EA2" w:rsidRPr="00A53556">
              <w:rPr>
                <w:b/>
                <w:bCs/>
                <w:highlight w:val="darkGray"/>
              </w:rPr>
              <w:fldChar w:fldCharType="end"/>
            </w:r>
            <w:r w:rsidRPr="00A53556">
              <w:fldChar w:fldCharType="begin"/>
            </w:r>
            <w:r w:rsidRPr="00A53556">
              <w:instrText xml:space="preserve">  </w:instrText>
            </w:r>
            <w:r w:rsidRPr="00A53556">
              <w:fldChar w:fldCharType="end"/>
            </w:r>
          </w:p>
        </w:tc>
        <w:tc>
          <w:tcPr>
            <w:tcW w:w="2340" w:type="dxa"/>
          </w:tcPr>
          <w:p w14:paraId="314BBE08" w14:textId="382E9956" w:rsidR="007A7C0B" w:rsidRPr="00A53556" w:rsidRDefault="007A7C0B" w:rsidP="00F91EA2">
            <w:r w:rsidRPr="00A53556">
              <w:t xml:space="preserve">Limited to </w:t>
            </w:r>
            <w:r w:rsidR="008C567A">
              <w:t xml:space="preserve">lessor of </w:t>
            </w:r>
            <w:r w:rsidRPr="00A53556">
              <w:t>old or new mortgage</w:t>
            </w:r>
          </w:p>
        </w:tc>
      </w:tr>
      <w:tr w:rsidR="00F91EA2" w:rsidRPr="00A53556" w14:paraId="4C2EEC77" w14:textId="77777777" w:rsidTr="00A53556">
        <w:tc>
          <w:tcPr>
            <w:tcW w:w="2093" w:type="dxa"/>
          </w:tcPr>
          <w:p w14:paraId="64CD31F3" w14:textId="77777777" w:rsidR="00F91EA2" w:rsidRPr="00A53556" w:rsidRDefault="00F91EA2" w:rsidP="00F91EA2">
            <w:r w:rsidRPr="00A53556">
              <w:t>Appraisal Fee</w:t>
            </w:r>
          </w:p>
        </w:tc>
        <w:tc>
          <w:tcPr>
            <w:tcW w:w="1440" w:type="dxa"/>
          </w:tcPr>
          <w:p w14:paraId="2F021131" w14:textId="464C0C97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867" w:type="dxa"/>
          </w:tcPr>
          <w:p w14:paraId="7D5A5D70" w14:textId="6651258B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</w:tcPr>
          <w:p w14:paraId="0EBF8D53" w14:textId="5B5E4942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659D5189" w14:textId="0EFCE8A1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2340" w:type="dxa"/>
          </w:tcPr>
          <w:p w14:paraId="5F4DF14C" w14:textId="77777777" w:rsidR="00F91EA2" w:rsidRPr="00A53556" w:rsidRDefault="00F91EA2" w:rsidP="00F91EA2">
            <w:r w:rsidRPr="00A53556">
              <w:t>100% Reimbursable</w:t>
            </w:r>
          </w:p>
        </w:tc>
      </w:tr>
      <w:tr w:rsidR="00F91EA2" w:rsidRPr="00A53556" w14:paraId="3AD35AD2" w14:textId="77777777" w:rsidTr="00A53556">
        <w:tc>
          <w:tcPr>
            <w:tcW w:w="2093" w:type="dxa"/>
          </w:tcPr>
          <w:p w14:paraId="3F3274BC" w14:textId="77777777" w:rsidR="00F91EA2" w:rsidRPr="00A53556" w:rsidRDefault="00F91EA2" w:rsidP="00F91EA2">
            <w:r w:rsidRPr="00A53556">
              <w:t>Credit Report</w:t>
            </w:r>
          </w:p>
        </w:tc>
        <w:tc>
          <w:tcPr>
            <w:tcW w:w="1440" w:type="dxa"/>
          </w:tcPr>
          <w:p w14:paraId="0DB53288" w14:textId="74E1E3DA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867" w:type="dxa"/>
          </w:tcPr>
          <w:p w14:paraId="7B6043E6" w14:textId="076072A6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</w:tcPr>
          <w:p w14:paraId="3719CD1C" w14:textId="58894694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73DE7D11" w14:textId="09D3C690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2340" w:type="dxa"/>
          </w:tcPr>
          <w:p w14:paraId="3970E379" w14:textId="57CBC6B6" w:rsidR="00F91EA2" w:rsidRPr="00A53556" w:rsidRDefault="008C567A" w:rsidP="00F91EA2">
            <w:r>
              <w:t>Eligible if displacee had a mortgage on original home</w:t>
            </w:r>
          </w:p>
        </w:tc>
      </w:tr>
      <w:tr w:rsidR="00F91EA2" w:rsidRPr="00A53556" w14:paraId="2C1D64D3" w14:textId="77777777" w:rsidTr="00A53556">
        <w:tc>
          <w:tcPr>
            <w:tcW w:w="2093" w:type="dxa"/>
          </w:tcPr>
          <w:p w14:paraId="594FF72A" w14:textId="77777777" w:rsidR="00F91EA2" w:rsidRPr="00A53556" w:rsidRDefault="00F91EA2" w:rsidP="00F91EA2">
            <w:r w:rsidRPr="00A53556">
              <w:t>Document Preparation</w:t>
            </w:r>
          </w:p>
        </w:tc>
        <w:tc>
          <w:tcPr>
            <w:tcW w:w="1440" w:type="dxa"/>
          </w:tcPr>
          <w:p w14:paraId="6BC9EE08" w14:textId="7D078B86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867" w:type="dxa"/>
          </w:tcPr>
          <w:p w14:paraId="3CBD98B3" w14:textId="66EF3D92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</w:tcPr>
          <w:p w14:paraId="5097E52A" w14:textId="52A2DF5F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6E3F69CD" w14:textId="2BAC6302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2340" w:type="dxa"/>
          </w:tcPr>
          <w:p w14:paraId="11CACCBF" w14:textId="77777777" w:rsidR="00F91EA2" w:rsidRPr="00A53556" w:rsidRDefault="00F91EA2" w:rsidP="00F91EA2">
            <w:r w:rsidRPr="00A53556">
              <w:t>100% Reimbursable</w:t>
            </w:r>
          </w:p>
        </w:tc>
      </w:tr>
      <w:tr w:rsidR="00F91EA2" w:rsidRPr="00A53556" w14:paraId="5BEDC8A4" w14:textId="77777777" w:rsidTr="00A53556">
        <w:tc>
          <w:tcPr>
            <w:tcW w:w="2093" w:type="dxa"/>
          </w:tcPr>
          <w:p w14:paraId="7EB1B748" w14:textId="77777777" w:rsidR="00F91EA2" w:rsidRPr="00A53556" w:rsidRDefault="00F91EA2" w:rsidP="00F91EA2">
            <w:r w:rsidRPr="00A53556">
              <w:t>Tax Service Fee</w:t>
            </w:r>
          </w:p>
        </w:tc>
        <w:tc>
          <w:tcPr>
            <w:tcW w:w="1440" w:type="dxa"/>
          </w:tcPr>
          <w:p w14:paraId="02D1540C" w14:textId="3E8E0DB0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867" w:type="dxa"/>
          </w:tcPr>
          <w:p w14:paraId="339212D2" w14:textId="47D520E4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</w:tcPr>
          <w:p w14:paraId="05E8E08E" w14:textId="163EA923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51FB5F08" w14:textId="0D3BF08B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2340" w:type="dxa"/>
          </w:tcPr>
          <w:p w14:paraId="33799FA2" w14:textId="77777777" w:rsidR="00F91EA2" w:rsidRPr="00A53556" w:rsidRDefault="00F91EA2" w:rsidP="00F91EA2">
            <w:r w:rsidRPr="00A53556">
              <w:t>100% Reimbursable</w:t>
            </w:r>
          </w:p>
        </w:tc>
      </w:tr>
      <w:tr w:rsidR="00F91EA2" w:rsidRPr="00A53556" w14:paraId="296EB0A2" w14:textId="77777777" w:rsidTr="00A53556">
        <w:tc>
          <w:tcPr>
            <w:tcW w:w="2093" w:type="dxa"/>
          </w:tcPr>
          <w:p w14:paraId="4C371DA9" w14:textId="77777777" w:rsidR="00F91EA2" w:rsidRPr="00A53556" w:rsidRDefault="00F91EA2" w:rsidP="00F91EA2">
            <w:r w:rsidRPr="00A53556">
              <w:t>Tax Registration</w:t>
            </w:r>
          </w:p>
        </w:tc>
        <w:tc>
          <w:tcPr>
            <w:tcW w:w="1440" w:type="dxa"/>
          </w:tcPr>
          <w:p w14:paraId="7979AD50" w14:textId="2821B527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867" w:type="dxa"/>
          </w:tcPr>
          <w:p w14:paraId="4BFADCDC" w14:textId="587CEC62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</w:tcPr>
          <w:p w14:paraId="71F7B511" w14:textId="14C633FE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46EA4283" w14:textId="48F7E2C4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2340" w:type="dxa"/>
          </w:tcPr>
          <w:p w14:paraId="240686D0" w14:textId="77777777" w:rsidR="00F91EA2" w:rsidRPr="00A53556" w:rsidRDefault="00F91EA2" w:rsidP="00F91EA2">
            <w:r w:rsidRPr="00A53556">
              <w:t>100% Reimbursable</w:t>
            </w:r>
          </w:p>
        </w:tc>
      </w:tr>
      <w:tr w:rsidR="00F91EA2" w:rsidRPr="00A53556" w14:paraId="429DAFB3" w14:textId="77777777" w:rsidTr="00A53556">
        <w:tc>
          <w:tcPr>
            <w:tcW w:w="2093" w:type="dxa"/>
          </w:tcPr>
          <w:p w14:paraId="167AECE1" w14:textId="77777777" w:rsidR="00F91EA2" w:rsidRPr="00A53556" w:rsidRDefault="00F91EA2" w:rsidP="00F91EA2">
            <w:r w:rsidRPr="00A53556">
              <w:t>Flood Certification Fee</w:t>
            </w:r>
          </w:p>
        </w:tc>
        <w:tc>
          <w:tcPr>
            <w:tcW w:w="1440" w:type="dxa"/>
          </w:tcPr>
          <w:p w14:paraId="04DE25CB" w14:textId="47F5A765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867" w:type="dxa"/>
          </w:tcPr>
          <w:p w14:paraId="595C9D1C" w14:textId="2F7263DD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</w:tcPr>
          <w:p w14:paraId="51041622" w14:textId="1DBAC953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24D203D3" w14:textId="4312D9F4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2340" w:type="dxa"/>
          </w:tcPr>
          <w:p w14:paraId="27E97797" w14:textId="77777777" w:rsidR="00F91EA2" w:rsidRPr="00A53556" w:rsidRDefault="00F91EA2" w:rsidP="00F91EA2">
            <w:r w:rsidRPr="00A53556">
              <w:t>100% Reimbursable</w:t>
            </w:r>
          </w:p>
        </w:tc>
      </w:tr>
      <w:tr w:rsidR="00F91EA2" w:rsidRPr="00A53556" w14:paraId="50526333" w14:textId="77777777" w:rsidTr="00A53556">
        <w:tc>
          <w:tcPr>
            <w:tcW w:w="2093" w:type="dxa"/>
          </w:tcPr>
          <w:p w14:paraId="366A49AF" w14:textId="77777777" w:rsidR="00F91EA2" w:rsidRPr="00A53556" w:rsidRDefault="00F91EA2" w:rsidP="00F91EA2">
            <w:r w:rsidRPr="00A53556">
              <w:t>Notary Fee</w:t>
            </w:r>
          </w:p>
        </w:tc>
        <w:tc>
          <w:tcPr>
            <w:tcW w:w="1440" w:type="dxa"/>
          </w:tcPr>
          <w:p w14:paraId="26998861" w14:textId="1290EA8E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867" w:type="dxa"/>
          </w:tcPr>
          <w:p w14:paraId="6B11C7DA" w14:textId="5D78BBEF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</w:tcPr>
          <w:p w14:paraId="242CF580" w14:textId="6690771C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6BD2FA5A" w14:textId="4DE14E12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2340" w:type="dxa"/>
          </w:tcPr>
          <w:p w14:paraId="17DB3A25" w14:textId="77777777" w:rsidR="00F91EA2" w:rsidRPr="00A53556" w:rsidRDefault="00F91EA2" w:rsidP="00F91EA2">
            <w:r w:rsidRPr="00A53556">
              <w:t>100% Reimbursable</w:t>
            </w:r>
          </w:p>
        </w:tc>
      </w:tr>
      <w:tr w:rsidR="00F91EA2" w:rsidRPr="00A53556" w14:paraId="7B1A26EB" w14:textId="77777777" w:rsidTr="00A53556">
        <w:tc>
          <w:tcPr>
            <w:tcW w:w="2093" w:type="dxa"/>
          </w:tcPr>
          <w:p w14:paraId="03B4797E" w14:textId="77777777" w:rsidR="00F91EA2" w:rsidRPr="00A53556" w:rsidRDefault="00F91EA2" w:rsidP="00F91EA2">
            <w:r w:rsidRPr="00A53556">
              <w:t>Courier Fee</w:t>
            </w:r>
          </w:p>
        </w:tc>
        <w:tc>
          <w:tcPr>
            <w:tcW w:w="1440" w:type="dxa"/>
          </w:tcPr>
          <w:p w14:paraId="3DA581B5" w14:textId="26DD0FE0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867" w:type="dxa"/>
          </w:tcPr>
          <w:p w14:paraId="116DD9AB" w14:textId="43AFB4FA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</w:tcPr>
          <w:p w14:paraId="3E443197" w14:textId="7559B5B1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592F37BC" w14:textId="702A50B2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2340" w:type="dxa"/>
          </w:tcPr>
          <w:p w14:paraId="037A04E3" w14:textId="77777777" w:rsidR="00F91EA2" w:rsidRPr="00A53556" w:rsidRDefault="00F91EA2" w:rsidP="00F91EA2">
            <w:r w:rsidRPr="00A53556">
              <w:t>100% Reimbursable</w:t>
            </w:r>
          </w:p>
        </w:tc>
      </w:tr>
      <w:tr w:rsidR="00F91EA2" w:rsidRPr="00A53556" w14:paraId="4209C8A4" w14:textId="77777777" w:rsidTr="00A53556">
        <w:tc>
          <w:tcPr>
            <w:tcW w:w="2093" w:type="dxa"/>
          </w:tcPr>
          <w:p w14:paraId="3553F6E3" w14:textId="77777777" w:rsidR="00F91EA2" w:rsidRPr="00A53556" w:rsidRDefault="00F91EA2" w:rsidP="00F91EA2">
            <w:r w:rsidRPr="00A53556">
              <w:t>Attorney Fees</w:t>
            </w:r>
          </w:p>
        </w:tc>
        <w:tc>
          <w:tcPr>
            <w:tcW w:w="1440" w:type="dxa"/>
          </w:tcPr>
          <w:p w14:paraId="7133437F" w14:textId="462764C9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867" w:type="dxa"/>
          </w:tcPr>
          <w:p w14:paraId="56B14197" w14:textId="1C900FCB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</w:tcPr>
          <w:p w14:paraId="692E31C4" w14:textId="3E08A1DA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2C382C55" w14:textId="59E42858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2340" w:type="dxa"/>
          </w:tcPr>
          <w:p w14:paraId="02098396" w14:textId="77777777" w:rsidR="00F91EA2" w:rsidRPr="00A53556" w:rsidRDefault="00F91EA2" w:rsidP="00F91EA2">
            <w:r w:rsidRPr="00A53556">
              <w:t>100% Reimbursable</w:t>
            </w:r>
          </w:p>
        </w:tc>
      </w:tr>
      <w:tr w:rsidR="00F91EA2" w:rsidRPr="00A53556" w14:paraId="2D283343" w14:textId="77777777" w:rsidTr="00A53556">
        <w:tc>
          <w:tcPr>
            <w:tcW w:w="2093" w:type="dxa"/>
          </w:tcPr>
          <w:p w14:paraId="0C63096F" w14:textId="77777777" w:rsidR="00F91EA2" w:rsidRPr="00A53556" w:rsidRDefault="00F91EA2" w:rsidP="00F91EA2">
            <w:r w:rsidRPr="00A53556">
              <w:t>Underwriting Fee</w:t>
            </w:r>
          </w:p>
        </w:tc>
        <w:tc>
          <w:tcPr>
            <w:tcW w:w="1440" w:type="dxa"/>
          </w:tcPr>
          <w:p w14:paraId="4E6DA73D" w14:textId="1DCEE2F4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867" w:type="dxa"/>
          </w:tcPr>
          <w:p w14:paraId="5FB5A6AD" w14:textId="5CD5805B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</w:tcPr>
          <w:p w14:paraId="56C81AAE" w14:textId="6DB4138E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55B46B43" w14:textId="2F465C80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2340" w:type="dxa"/>
          </w:tcPr>
          <w:p w14:paraId="0583D251" w14:textId="77777777" w:rsidR="00F91EA2" w:rsidRPr="00A53556" w:rsidRDefault="00F91EA2" w:rsidP="00F91EA2">
            <w:r w:rsidRPr="00A53556">
              <w:t>100% Reimbursable</w:t>
            </w:r>
          </w:p>
        </w:tc>
      </w:tr>
      <w:tr w:rsidR="00F91EA2" w:rsidRPr="00A53556" w14:paraId="46245641" w14:textId="77777777" w:rsidTr="00A53556">
        <w:tc>
          <w:tcPr>
            <w:tcW w:w="2093" w:type="dxa"/>
          </w:tcPr>
          <w:p w14:paraId="7A434FE7" w14:textId="77777777" w:rsidR="00F91EA2" w:rsidRPr="00A53556" w:rsidRDefault="00F91EA2" w:rsidP="00F91EA2">
            <w:r w:rsidRPr="00A53556">
              <w:t>Home Inspection</w:t>
            </w:r>
          </w:p>
        </w:tc>
        <w:tc>
          <w:tcPr>
            <w:tcW w:w="1440" w:type="dxa"/>
          </w:tcPr>
          <w:p w14:paraId="035D4476" w14:textId="10805DBE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867" w:type="dxa"/>
          </w:tcPr>
          <w:p w14:paraId="2C1819F1" w14:textId="67ADBA53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</w:tcPr>
          <w:p w14:paraId="33A7F96F" w14:textId="4990C6CF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4E18EAB8" w14:textId="6A50A833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2340" w:type="dxa"/>
          </w:tcPr>
          <w:p w14:paraId="2CF1750E" w14:textId="77777777" w:rsidR="00F91EA2" w:rsidRPr="00A53556" w:rsidRDefault="00F91EA2" w:rsidP="00F91EA2">
            <w:r w:rsidRPr="00A53556">
              <w:t>100% Reimbursable</w:t>
            </w:r>
          </w:p>
        </w:tc>
      </w:tr>
      <w:tr w:rsidR="00F91EA2" w:rsidRPr="00A53556" w14:paraId="30980C9D" w14:textId="77777777" w:rsidTr="00A53556">
        <w:tc>
          <w:tcPr>
            <w:tcW w:w="2093" w:type="dxa"/>
          </w:tcPr>
          <w:p w14:paraId="7B0DCFFB" w14:textId="77777777" w:rsidR="00F91EA2" w:rsidRPr="00A53556" w:rsidRDefault="00F91EA2" w:rsidP="00F91EA2">
            <w:r w:rsidRPr="00A53556">
              <w:t>Wire Fee</w:t>
            </w:r>
          </w:p>
        </w:tc>
        <w:tc>
          <w:tcPr>
            <w:tcW w:w="1440" w:type="dxa"/>
          </w:tcPr>
          <w:p w14:paraId="5BF0BE40" w14:textId="3425A91E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867" w:type="dxa"/>
          </w:tcPr>
          <w:p w14:paraId="3DBF9702" w14:textId="27A60645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</w:tcPr>
          <w:p w14:paraId="7A1107EE" w14:textId="5C67A500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7A6A3E5A" w14:textId="5BE9DB4F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2340" w:type="dxa"/>
          </w:tcPr>
          <w:p w14:paraId="58E6FD80" w14:textId="77777777" w:rsidR="00F91EA2" w:rsidRPr="00A53556" w:rsidRDefault="00F91EA2" w:rsidP="00F91EA2">
            <w:r w:rsidRPr="00A53556">
              <w:t>100% Reimbursable</w:t>
            </w:r>
          </w:p>
        </w:tc>
      </w:tr>
      <w:tr w:rsidR="00F91EA2" w:rsidRPr="00A53556" w14:paraId="0EAAB28F" w14:textId="77777777" w:rsidTr="00A53556">
        <w:tc>
          <w:tcPr>
            <w:tcW w:w="2093" w:type="dxa"/>
          </w:tcPr>
          <w:p w14:paraId="5428B934" w14:textId="77777777" w:rsidR="00F91EA2" w:rsidRPr="00A53556" w:rsidRDefault="00F91EA2" w:rsidP="00F91EA2">
            <w:r w:rsidRPr="00A53556">
              <w:t>Application Fee</w:t>
            </w:r>
          </w:p>
        </w:tc>
        <w:tc>
          <w:tcPr>
            <w:tcW w:w="1440" w:type="dxa"/>
          </w:tcPr>
          <w:p w14:paraId="3955D562" w14:textId="59E84CD0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867" w:type="dxa"/>
          </w:tcPr>
          <w:p w14:paraId="2CE7F41C" w14:textId="0EDE5A7A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</w:tcPr>
          <w:p w14:paraId="598C920A" w14:textId="079AE51D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00CB687F" w14:textId="53548501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2340" w:type="dxa"/>
          </w:tcPr>
          <w:p w14:paraId="167481F8" w14:textId="77777777" w:rsidR="00F91EA2" w:rsidRPr="00A53556" w:rsidRDefault="00F91EA2" w:rsidP="00F91EA2">
            <w:r w:rsidRPr="00A53556">
              <w:t>100% Reimbursable</w:t>
            </w:r>
          </w:p>
        </w:tc>
      </w:tr>
      <w:tr w:rsidR="00F91EA2" w:rsidRPr="00A53556" w14:paraId="52980EA2" w14:textId="77777777" w:rsidTr="00A53556">
        <w:tc>
          <w:tcPr>
            <w:tcW w:w="2093" w:type="dxa"/>
          </w:tcPr>
          <w:p w14:paraId="4590BE0D" w14:textId="77777777" w:rsidR="00F91EA2" w:rsidRPr="00A53556" w:rsidRDefault="00F91EA2" w:rsidP="00F91EA2">
            <w:r w:rsidRPr="00A53556">
              <w:t>Lenders Title Insurance</w:t>
            </w:r>
          </w:p>
        </w:tc>
        <w:tc>
          <w:tcPr>
            <w:tcW w:w="1440" w:type="dxa"/>
          </w:tcPr>
          <w:p w14:paraId="5CD7CD5A" w14:textId="518DD91A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867" w:type="dxa"/>
          </w:tcPr>
          <w:p w14:paraId="5DEDE8EF" w14:textId="0BA96648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</w:tcPr>
          <w:p w14:paraId="0B0E009A" w14:textId="25F4D66E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3339DD60" w14:textId="6A49F5D9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2340" w:type="dxa"/>
          </w:tcPr>
          <w:p w14:paraId="4DEE8603" w14:textId="77777777" w:rsidR="00F91EA2" w:rsidRPr="00A53556" w:rsidRDefault="00F91EA2" w:rsidP="00F91EA2">
            <w:r w:rsidRPr="00A53556">
              <w:t>Verified w/escrow co. (see page 1 for instructions)</w:t>
            </w:r>
          </w:p>
        </w:tc>
      </w:tr>
      <w:tr w:rsidR="00F91EA2" w:rsidRPr="00A53556" w14:paraId="38F1DBB5" w14:textId="77777777" w:rsidTr="00A53556">
        <w:tc>
          <w:tcPr>
            <w:tcW w:w="2093" w:type="dxa"/>
          </w:tcPr>
          <w:p w14:paraId="2E764C1F" w14:textId="77777777" w:rsidR="00F91EA2" w:rsidRPr="00A53556" w:rsidRDefault="00F91EA2" w:rsidP="00F91EA2">
            <w:pPr>
              <w:spacing w:after="60"/>
            </w:pPr>
            <w:r w:rsidRPr="00A53556">
              <w:t>Escrow Fee, Settlement</w:t>
            </w:r>
          </w:p>
        </w:tc>
        <w:tc>
          <w:tcPr>
            <w:tcW w:w="1440" w:type="dxa"/>
          </w:tcPr>
          <w:p w14:paraId="0B5310FD" w14:textId="6937A9DE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867" w:type="dxa"/>
          </w:tcPr>
          <w:p w14:paraId="0CBF7794" w14:textId="0C7E7E58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</w:tcPr>
          <w:p w14:paraId="285B2F0D" w14:textId="5FBF1622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4D28C7BC" w14:textId="53D139E1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2340" w:type="dxa"/>
          </w:tcPr>
          <w:p w14:paraId="3083521C" w14:textId="77777777" w:rsidR="00F91EA2" w:rsidRPr="00A53556" w:rsidRDefault="00F91EA2" w:rsidP="00F91EA2">
            <w:r w:rsidRPr="00A53556">
              <w:t>Verified w/escrow co. (see page 1 for instructions)</w:t>
            </w:r>
          </w:p>
        </w:tc>
      </w:tr>
      <w:tr w:rsidR="00F91EA2" w:rsidRPr="00A53556" w14:paraId="6BFEBE8C" w14:textId="77777777" w:rsidTr="00A53556">
        <w:tc>
          <w:tcPr>
            <w:tcW w:w="2093" w:type="dxa"/>
          </w:tcPr>
          <w:p w14:paraId="318678EF" w14:textId="77777777" w:rsidR="00F91EA2" w:rsidRPr="00A53556" w:rsidRDefault="00F91EA2" w:rsidP="00F91EA2">
            <w:pPr>
              <w:spacing w:after="60"/>
            </w:pPr>
            <w:r w:rsidRPr="00A53556">
              <w:t>Closing, Admin Fee</w:t>
            </w:r>
          </w:p>
        </w:tc>
        <w:tc>
          <w:tcPr>
            <w:tcW w:w="1440" w:type="dxa"/>
          </w:tcPr>
          <w:p w14:paraId="0EDA3BEC" w14:textId="200C35BB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867" w:type="dxa"/>
          </w:tcPr>
          <w:p w14:paraId="65399111" w14:textId="03068421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</w:tcPr>
          <w:p w14:paraId="6C7F2C30" w14:textId="45F36C27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65CF26AB" w14:textId="35414728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2340" w:type="dxa"/>
          </w:tcPr>
          <w:p w14:paraId="570B6A6D" w14:textId="77777777" w:rsidR="00F91EA2" w:rsidRPr="00A53556" w:rsidRDefault="00F91EA2" w:rsidP="00F91EA2">
            <w:r w:rsidRPr="00A53556">
              <w:t>100% Reimbursable</w:t>
            </w:r>
          </w:p>
        </w:tc>
      </w:tr>
      <w:tr w:rsidR="00F91EA2" w:rsidRPr="00A53556" w14:paraId="0EB3C41F" w14:textId="77777777" w:rsidTr="00A53556">
        <w:tc>
          <w:tcPr>
            <w:tcW w:w="2093" w:type="dxa"/>
          </w:tcPr>
          <w:p w14:paraId="26E0F0BB" w14:textId="77777777" w:rsidR="00F91EA2" w:rsidRPr="00A53556" w:rsidRDefault="00F91EA2" w:rsidP="00F91EA2">
            <w:pPr>
              <w:spacing w:after="60"/>
            </w:pPr>
            <w:r w:rsidRPr="00A53556">
              <w:t>Recording Fee</w:t>
            </w:r>
          </w:p>
        </w:tc>
        <w:tc>
          <w:tcPr>
            <w:tcW w:w="1440" w:type="dxa"/>
          </w:tcPr>
          <w:p w14:paraId="1E7FF0C1" w14:textId="3C733B8D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867" w:type="dxa"/>
          </w:tcPr>
          <w:p w14:paraId="2D43E625" w14:textId="396C495B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</w:tcPr>
          <w:p w14:paraId="20E0DE9A" w14:textId="6DAF7971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6DC88685" w14:textId="38C8F883" w:rsidR="00F91EA2" w:rsidRPr="00A53556" w:rsidRDefault="00F91EA2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2340" w:type="dxa"/>
          </w:tcPr>
          <w:p w14:paraId="40DD8E95" w14:textId="49A35746" w:rsidR="00F91EA2" w:rsidRPr="00A53556" w:rsidRDefault="00F91EA2" w:rsidP="00F91EA2">
            <w:r w:rsidRPr="00A53556">
              <w:t>100% Reimbursable</w:t>
            </w:r>
          </w:p>
        </w:tc>
      </w:tr>
      <w:tr w:rsidR="00226438" w:rsidRPr="00A53556" w14:paraId="10118701" w14:textId="77777777" w:rsidTr="00A53556">
        <w:trPr>
          <w:trHeight w:val="255"/>
        </w:trPr>
        <w:tc>
          <w:tcPr>
            <w:tcW w:w="2093" w:type="dxa"/>
            <w:vMerge w:val="restart"/>
          </w:tcPr>
          <w:p w14:paraId="21779282" w14:textId="77777777" w:rsidR="00226438" w:rsidRPr="00A53556" w:rsidRDefault="00226438" w:rsidP="00F91EA2">
            <w:pPr>
              <w:spacing w:after="60"/>
            </w:pPr>
            <w:r w:rsidRPr="00A53556">
              <w:t>Non-reimbursable points, pre-paid interest, reserves, etc.</w:t>
            </w:r>
          </w:p>
        </w:tc>
        <w:tc>
          <w:tcPr>
            <w:tcW w:w="1440" w:type="dxa"/>
          </w:tcPr>
          <w:p w14:paraId="10B91F08" w14:textId="50549695" w:rsidR="00226438" w:rsidRPr="00A53556" w:rsidRDefault="00226438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867" w:type="dxa"/>
          </w:tcPr>
          <w:p w14:paraId="0BB252B9" w14:textId="460D8CDE" w:rsidR="00226438" w:rsidRPr="00A53556" w:rsidRDefault="00226438" w:rsidP="005D400C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</w:tcPr>
          <w:p w14:paraId="224B00F8" w14:textId="748E0910" w:rsidR="00226438" w:rsidRPr="00A53556" w:rsidRDefault="00226438" w:rsidP="005D400C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42C90366" w14:textId="5FC0ABFE" w:rsidR="00226438" w:rsidRPr="00A53556" w:rsidRDefault="00226438" w:rsidP="005D400C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2340" w:type="dxa"/>
          </w:tcPr>
          <w:p w14:paraId="680E8502" w14:textId="6A20DBD1" w:rsidR="00226438" w:rsidRPr="00A53556" w:rsidRDefault="00226438" w:rsidP="00F91EA2">
            <w:r w:rsidRPr="00A53556">
              <w:t>Homeowner Insurance</w:t>
            </w:r>
          </w:p>
        </w:tc>
      </w:tr>
      <w:tr w:rsidR="008C567A" w:rsidRPr="00A53556" w14:paraId="2F895C0B" w14:textId="77777777" w:rsidTr="00A53556">
        <w:trPr>
          <w:trHeight w:val="525"/>
        </w:trPr>
        <w:tc>
          <w:tcPr>
            <w:tcW w:w="2093" w:type="dxa"/>
            <w:vMerge/>
          </w:tcPr>
          <w:p w14:paraId="74FA2B81" w14:textId="77777777" w:rsidR="008C567A" w:rsidRPr="00A53556" w:rsidRDefault="008C567A" w:rsidP="00F91EA2">
            <w:pPr>
              <w:spacing w:after="60"/>
            </w:pPr>
          </w:p>
        </w:tc>
        <w:tc>
          <w:tcPr>
            <w:tcW w:w="1440" w:type="dxa"/>
          </w:tcPr>
          <w:p w14:paraId="3C63F26B" w14:textId="2FF98A89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867" w:type="dxa"/>
          </w:tcPr>
          <w:p w14:paraId="6157C4C4" w14:textId="445A81C9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</w:tcPr>
          <w:p w14:paraId="7F24817E" w14:textId="17927754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3688CD5D" w14:textId="20F8F71D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2340" w:type="dxa"/>
          </w:tcPr>
          <w:p w14:paraId="393B35BD" w14:textId="729972BC" w:rsidR="008C567A" w:rsidRPr="00A53556" w:rsidRDefault="008C567A" w:rsidP="00226438">
            <w:r w:rsidRPr="00A53556">
              <w:t>Property Taxes</w:t>
            </w:r>
          </w:p>
        </w:tc>
      </w:tr>
      <w:tr w:rsidR="008C567A" w:rsidRPr="00A53556" w14:paraId="6CEFF70B" w14:textId="77777777" w:rsidTr="00A53556">
        <w:trPr>
          <w:trHeight w:val="210"/>
        </w:trPr>
        <w:tc>
          <w:tcPr>
            <w:tcW w:w="2093" w:type="dxa"/>
            <w:vMerge/>
          </w:tcPr>
          <w:p w14:paraId="750CD0F8" w14:textId="77777777" w:rsidR="008C567A" w:rsidRPr="00A53556" w:rsidRDefault="008C567A" w:rsidP="00F91EA2">
            <w:pPr>
              <w:spacing w:after="60"/>
            </w:pPr>
          </w:p>
        </w:tc>
        <w:tc>
          <w:tcPr>
            <w:tcW w:w="1440" w:type="dxa"/>
          </w:tcPr>
          <w:p w14:paraId="07B9B7FA" w14:textId="64254225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867" w:type="dxa"/>
          </w:tcPr>
          <w:p w14:paraId="7AD3AB49" w14:textId="0D5D37B8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</w:tcPr>
          <w:p w14:paraId="255F1BF0" w14:textId="4C5F9328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4CBF88F3" w14:textId="73F06A83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2340" w:type="dxa"/>
          </w:tcPr>
          <w:p w14:paraId="6AF5A60B" w14:textId="69305D15" w:rsidR="008C567A" w:rsidRPr="00A53556" w:rsidRDefault="008C567A" w:rsidP="00226438">
            <w:r w:rsidRPr="00A53556">
              <w:t>Property Taxes prorated</w:t>
            </w:r>
          </w:p>
        </w:tc>
      </w:tr>
      <w:tr w:rsidR="008C567A" w:rsidRPr="00A53556" w14:paraId="7E0B8B4C" w14:textId="77777777" w:rsidTr="00A53556">
        <w:trPr>
          <w:trHeight w:val="225"/>
        </w:trPr>
        <w:tc>
          <w:tcPr>
            <w:tcW w:w="2093" w:type="dxa"/>
            <w:vMerge/>
          </w:tcPr>
          <w:p w14:paraId="76CABAC7" w14:textId="77777777" w:rsidR="008C567A" w:rsidRPr="00A53556" w:rsidRDefault="008C567A" w:rsidP="00F91EA2">
            <w:pPr>
              <w:spacing w:after="60"/>
            </w:pPr>
          </w:p>
        </w:tc>
        <w:tc>
          <w:tcPr>
            <w:tcW w:w="1440" w:type="dxa"/>
          </w:tcPr>
          <w:p w14:paraId="5A6C6A1D" w14:textId="7F7B88FA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867" w:type="dxa"/>
          </w:tcPr>
          <w:p w14:paraId="0C2FC443" w14:textId="3C368927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</w:tcPr>
          <w:p w14:paraId="1F88FD22" w14:textId="78263A4D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6563BD11" w14:textId="6AD0ED5E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2340" w:type="dxa"/>
          </w:tcPr>
          <w:p w14:paraId="3E592C76" w14:textId="6727793C" w:rsidR="008C567A" w:rsidRPr="00A53556" w:rsidRDefault="008C567A" w:rsidP="00226438">
            <w:r w:rsidRPr="00A53556">
              <w:t>Prepaid Interest</w:t>
            </w:r>
          </w:p>
        </w:tc>
      </w:tr>
      <w:tr w:rsidR="008C567A" w:rsidRPr="00A53556" w14:paraId="08A50D9B" w14:textId="77777777" w:rsidTr="00A53556">
        <w:trPr>
          <w:trHeight w:val="210"/>
        </w:trPr>
        <w:tc>
          <w:tcPr>
            <w:tcW w:w="2093" w:type="dxa"/>
            <w:vMerge/>
          </w:tcPr>
          <w:p w14:paraId="6CAAB3EC" w14:textId="77777777" w:rsidR="008C567A" w:rsidRPr="00A53556" w:rsidRDefault="008C567A" w:rsidP="00F91EA2">
            <w:pPr>
              <w:spacing w:after="60"/>
            </w:pPr>
          </w:p>
        </w:tc>
        <w:tc>
          <w:tcPr>
            <w:tcW w:w="1440" w:type="dxa"/>
          </w:tcPr>
          <w:p w14:paraId="6BC55E01" w14:textId="1EB51CD0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867" w:type="dxa"/>
          </w:tcPr>
          <w:p w14:paraId="0DB438F0" w14:textId="356FB3DB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</w:tcPr>
          <w:p w14:paraId="55F90A4E" w14:textId="373B2F68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4E0D383D" w14:textId="49E204AE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2340" w:type="dxa"/>
          </w:tcPr>
          <w:p w14:paraId="6C335732" w14:textId="1A62860E" w:rsidR="008C567A" w:rsidRPr="00A53556" w:rsidRDefault="008C567A" w:rsidP="00226438">
            <w:r w:rsidRPr="00A53556">
              <w:t>HOA fees</w:t>
            </w:r>
          </w:p>
        </w:tc>
      </w:tr>
      <w:tr w:rsidR="008C567A" w:rsidRPr="00A53556" w14:paraId="66B63D7A" w14:textId="77777777" w:rsidTr="00A53556">
        <w:trPr>
          <w:trHeight w:val="270"/>
        </w:trPr>
        <w:tc>
          <w:tcPr>
            <w:tcW w:w="2093" w:type="dxa"/>
            <w:vMerge/>
          </w:tcPr>
          <w:p w14:paraId="7CAF3943" w14:textId="77777777" w:rsidR="008C567A" w:rsidRPr="00A53556" w:rsidRDefault="008C567A" w:rsidP="00F91EA2">
            <w:pPr>
              <w:spacing w:after="60"/>
            </w:pPr>
          </w:p>
        </w:tc>
        <w:tc>
          <w:tcPr>
            <w:tcW w:w="1440" w:type="dxa"/>
          </w:tcPr>
          <w:p w14:paraId="6934AEAE" w14:textId="0F44C14D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867" w:type="dxa"/>
          </w:tcPr>
          <w:p w14:paraId="251E466B" w14:textId="48DA91D0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</w:tcPr>
          <w:p w14:paraId="15803E5B" w14:textId="43E55B0E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73E4E779" w14:textId="2DE508C2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2340" w:type="dxa"/>
          </w:tcPr>
          <w:p w14:paraId="2F90F290" w14:textId="45C72AC2" w:rsidR="008C567A" w:rsidRPr="00A53556" w:rsidRDefault="008C567A" w:rsidP="00226438">
            <w:r w:rsidRPr="00A53556">
              <w:t>Processing Fees</w:t>
            </w:r>
          </w:p>
        </w:tc>
      </w:tr>
      <w:tr w:rsidR="008C567A" w:rsidRPr="00A53556" w14:paraId="4D82DFDB" w14:textId="77777777" w:rsidTr="00A53556">
        <w:trPr>
          <w:trHeight w:val="240"/>
        </w:trPr>
        <w:tc>
          <w:tcPr>
            <w:tcW w:w="2093" w:type="dxa"/>
            <w:vMerge w:val="restart"/>
          </w:tcPr>
          <w:p w14:paraId="0B74ECB6" w14:textId="2EEECD95" w:rsidR="008C567A" w:rsidRPr="00A53556" w:rsidRDefault="008C567A" w:rsidP="00F91EA2">
            <w:pPr>
              <w:spacing w:after="60"/>
            </w:pPr>
            <w:r w:rsidRPr="00A53556">
              <w:t>Other miscellaneous Fees</w:t>
            </w:r>
          </w:p>
        </w:tc>
        <w:tc>
          <w:tcPr>
            <w:tcW w:w="1440" w:type="dxa"/>
          </w:tcPr>
          <w:p w14:paraId="679B7E97" w14:textId="5D1C5B52" w:rsidR="008C567A" w:rsidRPr="00A53556" w:rsidRDefault="008C567A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867" w:type="dxa"/>
          </w:tcPr>
          <w:p w14:paraId="4849676D" w14:textId="1D3EA3EC" w:rsidR="008C567A" w:rsidRPr="00A53556" w:rsidRDefault="008C567A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</w:tcPr>
          <w:p w14:paraId="5BF7EA82" w14:textId="72143493" w:rsidR="008C567A" w:rsidRPr="00A53556" w:rsidRDefault="008C567A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4E1ADB02" w14:textId="72F761BE" w:rsidR="008C567A" w:rsidRPr="00A53556" w:rsidRDefault="008C567A" w:rsidP="00F91EA2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2340" w:type="dxa"/>
          </w:tcPr>
          <w:p w14:paraId="5B9DBDB0" w14:textId="63B5E644" w:rsidR="008C567A" w:rsidRPr="00A53556" w:rsidRDefault="008C567A" w:rsidP="00F91EA2">
            <w:r w:rsidRPr="00A53556">
              <w:t xml:space="preserve">VA Funding Fee/Closing </w:t>
            </w:r>
          </w:p>
        </w:tc>
      </w:tr>
      <w:tr w:rsidR="008C567A" w:rsidRPr="00A53556" w14:paraId="7E4F77F5" w14:textId="77777777" w:rsidTr="00A53556">
        <w:trPr>
          <w:trHeight w:val="210"/>
        </w:trPr>
        <w:tc>
          <w:tcPr>
            <w:tcW w:w="2093" w:type="dxa"/>
            <w:vMerge/>
          </w:tcPr>
          <w:p w14:paraId="58E9E2B2" w14:textId="77777777" w:rsidR="008C567A" w:rsidRPr="00A53556" w:rsidRDefault="008C567A" w:rsidP="00F91EA2">
            <w:pPr>
              <w:spacing w:after="60"/>
            </w:pPr>
          </w:p>
        </w:tc>
        <w:tc>
          <w:tcPr>
            <w:tcW w:w="1440" w:type="dxa"/>
          </w:tcPr>
          <w:p w14:paraId="1FAAA59A" w14:textId="0EE363EB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867" w:type="dxa"/>
          </w:tcPr>
          <w:p w14:paraId="709FBDBD" w14:textId="06FC677B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</w:tcPr>
          <w:p w14:paraId="3B3EEFBA" w14:textId="41A34FB2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787F73FB" w14:textId="6278B532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2340" w:type="dxa"/>
          </w:tcPr>
          <w:p w14:paraId="4C9153FA" w14:textId="74127D0D" w:rsidR="008C567A" w:rsidRPr="00A53556" w:rsidRDefault="008C567A" w:rsidP="00226438">
            <w:r w:rsidRPr="00A53556">
              <w:t>Costs Financed</w:t>
            </w:r>
          </w:p>
        </w:tc>
      </w:tr>
      <w:tr w:rsidR="008C567A" w:rsidRPr="00A53556" w14:paraId="17C9EF37" w14:textId="77777777" w:rsidTr="00A53556">
        <w:trPr>
          <w:trHeight w:val="225"/>
        </w:trPr>
        <w:tc>
          <w:tcPr>
            <w:tcW w:w="2093" w:type="dxa"/>
            <w:vMerge/>
          </w:tcPr>
          <w:p w14:paraId="4445C3D5" w14:textId="77777777" w:rsidR="008C567A" w:rsidRPr="00A53556" w:rsidRDefault="008C567A" w:rsidP="00F91EA2">
            <w:pPr>
              <w:spacing w:after="60"/>
            </w:pPr>
          </w:p>
        </w:tc>
        <w:tc>
          <w:tcPr>
            <w:tcW w:w="1440" w:type="dxa"/>
          </w:tcPr>
          <w:p w14:paraId="4376971F" w14:textId="341DBBD9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867" w:type="dxa"/>
          </w:tcPr>
          <w:p w14:paraId="37906AD0" w14:textId="178CCD39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</w:tcPr>
          <w:p w14:paraId="3A5E6C47" w14:textId="7EA003D4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536CBAE8" w14:textId="673FC6D1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2340" w:type="dxa"/>
          </w:tcPr>
          <w:p w14:paraId="0D4B2B54" w14:textId="6CBDB8FF" w:rsidR="008C567A" w:rsidRPr="00A53556" w:rsidRDefault="008C567A" w:rsidP="00226438">
            <w:r w:rsidRPr="00A53556">
              <w:t>Owner’s Title Insurance</w:t>
            </w:r>
          </w:p>
        </w:tc>
      </w:tr>
      <w:tr w:rsidR="008C567A" w:rsidRPr="00A53556" w14:paraId="596BA412" w14:textId="77777777" w:rsidTr="00A53556">
        <w:trPr>
          <w:trHeight w:val="225"/>
        </w:trPr>
        <w:tc>
          <w:tcPr>
            <w:tcW w:w="2093" w:type="dxa"/>
            <w:vMerge/>
          </w:tcPr>
          <w:p w14:paraId="3290DA13" w14:textId="77777777" w:rsidR="008C567A" w:rsidRPr="00A53556" w:rsidRDefault="008C567A" w:rsidP="00F91EA2">
            <w:pPr>
              <w:spacing w:after="60"/>
            </w:pPr>
          </w:p>
        </w:tc>
        <w:tc>
          <w:tcPr>
            <w:tcW w:w="1440" w:type="dxa"/>
          </w:tcPr>
          <w:p w14:paraId="7A0ADD65" w14:textId="4EF292CA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867" w:type="dxa"/>
          </w:tcPr>
          <w:p w14:paraId="0DDC6B5F" w14:textId="5F536FFE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</w:tcPr>
          <w:p w14:paraId="5C0FE2C4" w14:textId="4E7C2ACD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687B6F70" w14:textId="12207259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2340" w:type="dxa"/>
          </w:tcPr>
          <w:p w14:paraId="626F0DA7" w14:textId="126ED1C6" w:rsidR="008C567A" w:rsidRPr="00A53556" w:rsidRDefault="008C567A" w:rsidP="00226438">
            <w:r w:rsidRPr="00A53556">
              <w:t>Seller Credits</w:t>
            </w:r>
          </w:p>
        </w:tc>
      </w:tr>
      <w:tr w:rsidR="008C567A" w:rsidRPr="00A53556" w14:paraId="5353DD0E" w14:textId="77777777" w:rsidTr="00A53556">
        <w:trPr>
          <w:trHeight w:val="240"/>
        </w:trPr>
        <w:tc>
          <w:tcPr>
            <w:tcW w:w="2093" w:type="dxa"/>
            <w:vMerge/>
          </w:tcPr>
          <w:p w14:paraId="1BA31F27" w14:textId="77777777" w:rsidR="008C567A" w:rsidRPr="00A53556" w:rsidRDefault="008C567A" w:rsidP="00F91EA2">
            <w:pPr>
              <w:spacing w:after="60"/>
            </w:pPr>
          </w:p>
        </w:tc>
        <w:tc>
          <w:tcPr>
            <w:tcW w:w="1440" w:type="dxa"/>
          </w:tcPr>
          <w:p w14:paraId="5BEEEE56" w14:textId="7DF822C9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867" w:type="dxa"/>
          </w:tcPr>
          <w:p w14:paraId="783A4AE8" w14:textId="57D04B3F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</w:tcPr>
          <w:p w14:paraId="6F58952C" w14:textId="703B9556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345FB298" w14:textId="0D9F4D9A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2340" w:type="dxa"/>
          </w:tcPr>
          <w:p w14:paraId="56534390" w14:textId="07F19CA4" w:rsidR="008C567A" w:rsidRPr="00A53556" w:rsidRDefault="008C567A" w:rsidP="00226438">
            <w:r w:rsidRPr="00A53556">
              <w:t>Lender Credits</w:t>
            </w:r>
          </w:p>
        </w:tc>
      </w:tr>
      <w:tr w:rsidR="008C567A" w:rsidRPr="00A53556" w14:paraId="5B65B80F" w14:textId="77777777" w:rsidTr="00A53556">
        <w:trPr>
          <w:trHeight w:val="228"/>
        </w:trPr>
        <w:tc>
          <w:tcPr>
            <w:tcW w:w="2093" w:type="dxa"/>
            <w:vMerge/>
          </w:tcPr>
          <w:p w14:paraId="6F41F992" w14:textId="77777777" w:rsidR="008C567A" w:rsidRPr="00A53556" w:rsidRDefault="008C567A" w:rsidP="00F91EA2">
            <w:pPr>
              <w:spacing w:after="60"/>
            </w:pPr>
          </w:p>
        </w:tc>
        <w:tc>
          <w:tcPr>
            <w:tcW w:w="1440" w:type="dxa"/>
          </w:tcPr>
          <w:p w14:paraId="51103619" w14:textId="038FB468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867" w:type="dxa"/>
          </w:tcPr>
          <w:p w14:paraId="75F831D3" w14:textId="54A408E7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</w:tcPr>
          <w:p w14:paraId="4D9C5633" w14:textId="0C9694BB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01A3C7C2" w14:textId="7F65C518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2340" w:type="dxa"/>
          </w:tcPr>
          <w:p w14:paraId="0333202B" w14:textId="5879277C" w:rsidR="008C567A" w:rsidRPr="00A53556" w:rsidRDefault="008C567A" w:rsidP="00226438">
            <w:r w:rsidRPr="00A53556">
              <w:t xml:space="preserve">Nonspecific Credit applied to non-eligible </w:t>
            </w:r>
            <w:r w:rsidR="009266F4" w:rsidRPr="00A53556">
              <w:t>fee;</w:t>
            </w:r>
            <w:r w:rsidRPr="00A53556">
              <w:t xml:space="preserve"> no reduction necessary</w:t>
            </w:r>
          </w:p>
        </w:tc>
      </w:tr>
      <w:tr w:rsidR="008C567A" w:rsidRPr="00A53556" w14:paraId="6B56FCCA" w14:textId="77777777" w:rsidTr="00A53556">
        <w:trPr>
          <w:trHeight w:val="780"/>
        </w:trPr>
        <w:tc>
          <w:tcPr>
            <w:tcW w:w="2093" w:type="dxa"/>
            <w:vMerge/>
          </w:tcPr>
          <w:p w14:paraId="389054B3" w14:textId="77777777" w:rsidR="008C567A" w:rsidRPr="00A53556" w:rsidRDefault="008C567A" w:rsidP="00F91EA2">
            <w:pPr>
              <w:spacing w:after="60"/>
            </w:pPr>
          </w:p>
        </w:tc>
        <w:tc>
          <w:tcPr>
            <w:tcW w:w="1440" w:type="dxa"/>
          </w:tcPr>
          <w:p w14:paraId="140E38D0" w14:textId="2AD4AD0C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867" w:type="dxa"/>
          </w:tcPr>
          <w:p w14:paraId="00A6389E" w14:textId="5283676D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</w:tcPr>
          <w:p w14:paraId="03D6A998" w14:textId="6DC9194A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5D34D56E" w14:textId="56076B96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2340" w:type="dxa"/>
          </w:tcPr>
          <w:p w14:paraId="4EECBE8D" w14:textId="24147167" w:rsidR="008C567A" w:rsidRPr="00A53556" w:rsidRDefault="008C567A" w:rsidP="00226438">
            <w:r w:rsidRPr="00A53556">
              <w:t xml:space="preserve">Aggregate Adjustment applied to non-eligible </w:t>
            </w:r>
            <w:r w:rsidR="009266F4" w:rsidRPr="00A53556">
              <w:t>fee;</w:t>
            </w:r>
            <w:r w:rsidRPr="00A53556">
              <w:t xml:space="preserve"> no reduction necessary</w:t>
            </w:r>
          </w:p>
        </w:tc>
      </w:tr>
      <w:tr w:rsidR="008C567A" w:rsidRPr="00A53556" w14:paraId="2BD4C72D" w14:textId="77777777" w:rsidTr="00A53556">
        <w:trPr>
          <w:trHeight w:val="795"/>
        </w:trPr>
        <w:tc>
          <w:tcPr>
            <w:tcW w:w="2093" w:type="dxa"/>
            <w:vMerge/>
          </w:tcPr>
          <w:p w14:paraId="13EA4911" w14:textId="77777777" w:rsidR="008C567A" w:rsidRPr="00A53556" w:rsidRDefault="008C567A" w:rsidP="00F91EA2">
            <w:pPr>
              <w:spacing w:after="60"/>
            </w:pPr>
          </w:p>
        </w:tc>
        <w:tc>
          <w:tcPr>
            <w:tcW w:w="1440" w:type="dxa"/>
          </w:tcPr>
          <w:p w14:paraId="1E01D104" w14:textId="04089387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867" w:type="dxa"/>
          </w:tcPr>
          <w:p w14:paraId="46BC5700" w14:textId="04886E2F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</w:tcPr>
          <w:p w14:paraId="42627EF4" w14:textId="3985DA84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57AD3C51" w14:textId="6FF03023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2340" w:type="dxa"/>
          </w:tcPr>
          <w:p w14:paraId="2BEFDBEC" w14:textId="2D019F6F" w:rsidR="008C567A" w:rsidRPr="00A53556" w:rsidRDefault="008C567A" w:rsidP="00226438">
            <w:r w:rsidRPr="00A53556">
              <w:t>Other Credits</w:t>
            </w:r>
          </w:p>
        </w:tc>
      </w:tr>
      <w:tr w:rsidR="008C567A" w:rsidRPr="00A53556" w14:paraId="71AE92F7" w14:textId="77777777" w:rsidTr="0067771A">
        <w:trPr>
          <w:trHeight w:val="300"/>
        </w:trPr>
        <w:tc>
          <w:tcPr>
            <w:tcW w:w="2093" w:type="dxa"/>
            <w:vMerge/>
          </w:tcPr>
          <w:p w14:paraId="1194FCCC" w14:textId="77777777" w:rsidR="008C567A" w:rsidRPr="00A53556" w:rsidRDefault="008C567A" w:rsidP="00F91EA2">
            <w:pPr>
              <w:spacing w:after="60"/>
            </w:pPr>
          </w:p>
        </w:tc>
        <w:tc>
          <w:tcPr>
            <w:tcW w:w="1440" w:type="dxa"/>
          </w:tcPr>
          <w:p w14:paraId="1BB2DE53" w14:textId="7AE62D73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867" w:type="dxa"/>
          </w:tcPr>
          <w:p w14:paraId="3807E32E" w14:textId="71BD001E" w:rsidR="008C567A" w:rsidRPr="00A53556" w:rsidRDefault="008C567A" w:rsidP="00226438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  <w:shd w:val="clear" w:color="auto" w:fill="808080" w:themeFill="background1" w:themeFillShade="80"/>
          </w:tcPr>
          <w:p w14:paraId="21A32B10" w14:textId="7ABA840B" w:rsidR="008C567A" w:rsidRPr="00A53556" w:rsidRDefault="008C567A" w:rsidP="00226438"/>
        </w:tc>
        <w:tc>
          <w:tcPr>
            <w:tcW w:w="1687" w:type="dxa"/>
            <w:shd w:val="clear" w:color="auto" w:fill="808080" w:themeFill="background1" w:themeFillShade="80"/>
          </w:tcPr>
          <w:p w14:paraId="0BB7C601" w14:textId="606891A8" w:rsidR="008C567A" w:rsidRPr="00A53556" w:rsidRDefault="008C567A" w:rsidP="00226438"/>
        </w:tc>
        <w:tc>
          <w:tcPr>
            <w:tcW w:w="2340" w:type="dxa"/>
          </w:tcPr>
          <w:p w14:paraId="2433C8E4" w14:textId="26A8B705" w:rsidR="008C567A" w:rsidRPr="00A53556" w:rsidRDefault="008C567A" w:rsidP="00226438"/>
        </w:tc>
      </w:tr>
      <w:tr w:rsidR="008C567A" w:rsidRPr="00A53556" w14:paraId="6CC7B899" w14:textId="77777777" w:rsidTr="0067771A">
        <w:tc>
          <w:tcPr>
            <w:tcW w:w="2093" w:type="dxa"/>
          </w:tcPr>
          <w:p w14:paraId="30D2A303" w14:textId="77777777" w:rsidR="008C567A" w:rsidRPr="00A53556" w:rsidRDefault="008C567A" w:rsidP="005D400C">
            <w:pPr>
              <w:spacing w:after="60"/>
            </w:pPr>
            <w:r w:rsidRPr="00A53556">
              <w:t>Total Estimated Preliminary Closing Costs</w:t>
            </w:r>
          </w:p>
        </w:tc>
        <w:tc>
          <w:tcPr>
            <w:tcW w:w="1440" w:type="dxa"/>
            <w:shd w:val="clear" w:color="auto" w:fill="808080" w:themeFill="background1" w:themeFillShade="80"/>
          </w:tcPr>
          <w:p w14:paraId="1BC46463" w14:textId="3181FE41" w:rsidR="008C567A" w:rsidRPr="00A53556" w:rsidRDefault="008C567A" w:rsidP="00475EBB"/>
        </w:tc>
        <w:tc>
          <w:tcPr>
            <w:tcW w:w="1867" w:type="dxa"/>
            <w:shd w:val="clear" w:color="auto" w:fill="808080" w:themeFill="background1" w:themeFillShade="80"/>
          </w:tcPr>
          <w:p w14:paraId="584BE994" w14:textId="6303C95F" w:rsidR="008C567A" w:rsidRPr="00A53556" w:rsidRDefault="008C567A" w:rsidP="00475EBB"/>
        </w:tc>
        <w:tc>
          <w:tcPr>
            <w:tcW w:w="1283" w:type="dxa"/>
          </w:tcPr>
          <w:p w14:paraId="734CB4C5" w14:textId="23511F79" w:rsidR="008C567A" w:rsidRPr="00A53556" w:rsidRDefault="008C567A" w:rsidP="005D400C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687" w:type="dxa"/>
          </w:tcPr>
          <w:p w14:paraId="60BFD9E2" w14:textId="7A313640" w:rsidR="008C567A" w:rsidRPr="00A53556" w:rsidRDefault="008C567A" w:rsidP="005D400C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2340" w:type="dxa"/>
          </w:tcPr>
          <w:p w14:paraId="3B1697BB" w14:textId="77777777" w:rsidR="008C567A" w:rsidRPr="00A53556" w:rsidRDefault="008C567A" w:rsidP="005D400C"/>
        </w:tc>
      </w:tr>
      <w:tr w:rsidR="008C567A" w:rsidRPr="00A53556" w14:paraId="499545C9" w14:textId="77777777" w:rsidTr="0067771A">
        <w:tc>
          <w:tcPr>
            <w:tcW w:w="2093" w:type="dxa"/>
          </w:tcPr>
          <w:p w14:paraId="4501B35A" w14:textId="77777777" w:rsidR="008C567A" w:rsidRPr="00A53556" w:rsidRDefault="008C567A" w:rsidP="005D400C">
            <w:pPr>
              <w:spacing w:after="60"/>
            </w:pPr>
            <w:r w:rsidRPr="00A53556">
              <w:t>Total Actual/Final Closing Costs</w:t>
            </w:r>
          </w:p>
        </w:tc>
        <w:tc>
          <w:tcPr>
            <w:tcW w:w="1440" w:type="dxa"/>
            <w:shd w:val="clear" w:color="auto" w:fill="808080" w:themeFill="background1" w:themeFillShade="80"/>
          </w:tcPr>
          <w:p w14:paraId="6D4A6194" w14:textId="77777777" w:rsidR="008C567A" w:rsidRPr="00A53556" w:rsidRDefault="008C567A" w:rsidP="005D400C"/>
        </w:tc>
        <w:tc>
          <w:tcPr>
            <w:tcW w:w="1867" w:type="dxa"/>
          </w:tcPr>
          <w:p w14:paraId="598E5B75" w14:textId="4CFB3886" w:rsidR="008C567A" w:rsidRPr="00A53556" w:rsidRDefault="008C567A" w:rsidP="005D400C">
            <w:r w:rsidRPr="00A53556">
              <w:t>$</w:t>
            </w:r>
            <w:r w:rsidRPr="00A53556">
              <w:rPr>
                <w:b/>
                <w:bCs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56">
              <w:rPr>
                <w:b/>
                <w:bCs/>
                <w:highlight w:val="darkGray"/>
              </w:rPr>
              <w:instrText xml:space="preserve"> FORMTEXT </w:instrText>
            </w:r>
            <w:r w:rsidRPr="00A53556">
              <w:rPr>
                <w:b/>
                <w:bCs/>
                <w:highlight w:val="darkGray"/>
              </w:rPr>
            </w:r>
            <w:r w:rsidRPr="00A53556">
              <w:rPr>
                <w:b/>
                <w:bCs/>
                <w:highlight w:val="darkGray"/>
              </w:rPr>
              <w:fldChar w:fldCharType="separate"/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noProof/>
                <w:highlight w:val="darkGray"/>
              </w:rPr>
              <w:t> </w:t>
            </w:r>
            <w:r w:rsidRPr="00A53556">
              <w:rPr>
                <w:b/>
                <w:bCs/>
                <w:highlight w:val="darkGray"/>
              </w:rPr>
              <w:fldChar w:fldCharType="end"/>
            </w:r>
          </w:p>
        </w:tc>
        <w:tc>
          <w:tcPr>
            <w:tcW w:w="1283" w:type="dxa"/>
            <w:shd w:val="clear" w:color="auto" w:fill="808080" w:themeFill="background1" w:themeFillShade="80"/>
          </w:tcPr>
          <w:p w14:paraId="45577889" w14:textId="5CB44F82" w:rsidR="008C567A" w:rsidRPr="00A53556" w:rsidRDefault="008C567A" w:rsidP="00475EBB"/>
        </w:tc>
        <w:tc>
          <w:tcPr>
            <w:tcW w:w="1687" w:type="dxa"/>
            <w:shd w:val="clear" w:color="auto" w:fill="808080" w:themeFill="background1" w:themeFillShade="80"/>
          </w:tcPr>
          <w:p w14:paraId="47B8023A" w14:textId="0C5B1E79" w:rsidR="008C567A" w:rsidRPr="00A53556" w:rsidRDefault="008C567A" w:rsidP="00475EBB"/>
        </w:tc>
        <w:tc>
          <w:tcPr>
            <w:tcW w:w="2340" w:type="dxa"/>
          </w:tcPr>
          <w:p w14:paraId="793A3878" w14:textId="1EACBF2E" w:rsidR="008C567A" w:rsidRPr="00A53556" w:rsidRDefault="008C567A" w:rsidP="005D400C">
            <w:r w:rsidRPr="00A53556">
              <w:t>Approximate 10-20% under payment</w:t>
            </w:r>
          </w:p>
        </w:tc>
      </w:tr>
      <w:tr w:rsidR="008C567A" w:rsidRPr="00A53556" w14:paraId="42DD3F21" w14:textId="77777777" w:rsidTr="0067771A">
        <w:tc>
          <w:tcPr>
            <w:tcW w:w="2093" w:type="dxa"/>
          </w:tcPr>
          <w:p w14:paraId="7EA302F6" w14:textId="77777777" w:rsidR="008C567A" w:rsidRPr="00A53556" w:rsidRDefault="008C567A" w:rsidP="005D400C">
            <w:pPr>
              <w:spacing w:after="60"/>
            </w:pPr>
            <w:r w:rsidRPr="00A53556">
              <w:t xml:space="preserve">Over/Under Payment </w:t>
            </w:r>
          </w:p>
        </w:tc>
        <w:tc>
          <w:tcPr>
            <w:tcW w:w="1440" w:type="dxa"/>
            <w:shd w:val="clear" w:color="auto" w:fill="808080" w:themeFill="background1" w:themeFillShade="80"/>
          </w:tcPr>
          <w:p w14:paraId="4EB59A7E" w14:textId="77777777" w:rsidR="008C567A" w:rsidRPr="00A53556" w:rsidRDefault="008C567A" w:rsidP="005D400C"/>
        </w:tc>
        <w:tc>
          <w:tcPr>
            <w:tcW w:w="1867" w:type="dxa"/>
          </w:tcPr>
          <w:p w14:paraId="7E66588E" w14:textId="77777777" w:rsidR="008C567A" w:rsidRPr="00A53556" w:rsidRDefault="008C567A" w:rsidP="00475EBB">
            <w:r w:rsidRPr="00A53556">
              <w:t xml:space="preserve">Amount paid to escrow in advance </w:t>
            </w:r>
          </w:p>
          <w:p w14:paraId="27F4A8D2" w14:textId="376046E8" w:rsidR="008C567A" w:rsidRPr="00A53556" w:rsidRDefault="008C567A" w:rsidP="00475EBB">
            <w:r w:rsidRPr="00A53556">
              <w:t>$</w:t>
            </w:r>
          </w:p>
        </w:tc>
        <w:tc>
          <w:tcPr>
            <w:tcW w:w="1283" w:type="dxa"/>
            <w:shd w:val="clear" w:color="auto" w:fill="808080" w:themeFill="background1" w:themeFillShade="80"/>
          </w:tcPr>
          <w:p w14:paraId="6FFD39FB" w14:textId="77777777" w:rsidR="008C567A" w:rsidRPr="00A53556" w:rsidRDefault="008C567A" w:rsidP="005D400C"/>
        </w:tc>
        <w:tc>
          <w:tcPr>
            <w:tcW w:w="1687" w:type="dxa"/>
          </w:tcPr>
          <w:p w14:paraId="60A64D24" w14:textId="038D0DEC" w:rsidR="008C567A" w:rsidRPr="00A53556" w:rsidRDefault="008C567A" w:rsidP="005D400C">
            <w:r w:rsidRPr="00A53556">
              <w:t>This amount is the final reimbursable amount less the amount paid to escrow in advance.</w:t>
            </w:r>
            <w:r w:rsidRPr="00A53556">
              <w:fldChar w:fldCharType="begin"/>
            </w:r>
            <w:r w:rsidRPr="00A53556">
              <w:instrText xml:space="preserve">  </w:instrText>
            </w:r>
            <w:r w:rsidRPr="00A53556">
              <w:fldChar w:fldCharType="end"/>
            </w:r>
          </w:p>
        </w:tc>
        <w:tc>
          <w:tcPr>
            <w:tcW w:w="2340" w:type="dxa"/>
          </w:tcPr>
          <w:p w14:paraId="66EA3AC3" w14:textId="555BCFD4" w:rsidR="008C567A" w:rsidRPr="00A53556" w:rsidRDefault="008C567A" w:rsidP="005D400C"/>
        </w:tc>
      </w:tr>
      <w:tr w:rsidR="008C567A" w:rsidRPr="00A53556" w14:paraId="4D4FA3BD" w14:textId="77777777" w:rsidTr="00A53556">
        <w:tc>
          <w:tcPr>
            <w:tcW w:w="2093" w:type="dxa"/>
          </w:tcPr>
          <w:p w14:paraId="3CCBAB3B" w14:textId="77777777" w:rsidR="008C567A" w:rsidRPr="00A53556" w:rsidRDefault="008C567A" w:rsidP="005D400C">
            <w:pPr>
              <w:spacing w:after="60"/>
            </w:pPr>
            <w:r w:rsidRPr="00A53556">
              <w:t>Total Eligible Reimbursable Settlement Costs</w:t>
            </w:r>
          </w:p>
        </w:tc>
        <w:tc>
          <w:tcPr>
            <w:tcW w:w="1440" w:type="dxa"/>
            <w:shd w:val="clear" w:color="auto" w:fill="808080" w:themeFill="background1" w:themeFillShade="80"/>
          </w:tcPr>
          <w:p w14:paraId="6C74D2E5" w14:textId="77777777" w:rsidR="008C567A" w:rsidRPr="00A53556" w:rsidRDefault="008C567A" w:rsidP="005D400C"/>
        </w:tc>
        <w:tc>
          <w:tcPr>
            <w:tcW w:w="1867" w:type="dxa"/>
          </w:tcPr>
          <w:p w14:paraId="58CB7A93" w14:textId="1EE97196" w:rsidR="008C567A" w:rsidRPr="00A53556" w:rsidRDefault="008C567A" w:rsidP="00475EBB">
            <w:pPr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808080" w:themeFill="background1" w:themeFillShade="80"/>
          </w:tcPr>
          <w:p w14:paraId="112A3C16" w14:textId="77777777" w:rsidR="008C567A" w:rsidRPr="00A53556" w:rsidRDefault="008C567A" w:rsidP="005D400C"/>
        </w:tc>
        <w:tc>
          <w:tcPr>
            <w:tcW w:w="1687" w:type="dxa"/>
          </w:tcPr>
          <w:p w14:paraId="1C4FD3F0" w14:textId="15D81D51" w:rsidR="008C567A" w:rsidRPr="00A53556" w:rsidRDefault="008C567A" w:rsidP="005D400C"/>
        </w:tc>
        <w:tc>
          <w:tcPr>
            <w:tcW w:w="2340" w:type="dxa"/>
          </w:tcPr>
          <w:p w14:paraId="3D825DA7" w14:textId="77777777" w:rsidR="008C567A" w:rsidRPr="00A53556" w:rsidRDefault="008C567A" w:rsidP="005D400C"/>
        </w:tc>
      </w:tr>
    </w:tbl>
    <w:p w14:paraId="1868B7DE" w14:textId="77777777" w:rsidR="003F2171" w:rsidRPr="00A53556" w:rsidRDefault="003F2171" w:rsidP="003C6B61">
      <w:pPr>
        <w:jc w:val="both"/>
      </w:pPr>
    </w:p>
    <w:sectPr w:rsidR="003F2171" w:rsidRPr="00A53556" w:rsidSect="00A53556">
      <w:footerReference w:type="default" r:id="rId11"/>
      <w:pgSz w:w="12240" w:h="15840"/>
      <w:pgMar w:top="1440" w:right="1440" w:bottom="720" w:left="720" w:header="72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96FC2" w14:textId="77777777" w:rsidR="00134F78" w:rsidRDefault="00134F78">
      <w:r>
        <w:separator/>
      </w:r>
    </w:p>
  </w:endnote>
  <w:endnote w:type="continuationSeparator" w:id="0">
    <w:p w14:paraId="4633567D" w14:textId="77777777" w:rsidR="00134F78" w:rsidRDefault="00134F78">
      <w:r>
        <w:continuationSeparator/>
      </w:r>
    </w:p>
  </w:endnote>
  <w:endnote w:type="continuationNotice" w:id="1">
    <w:p w14:paraId="55D02088" w14:textId="77777777" w:rsidR="00134F78" w:rsidRDefault="00134F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B7E3" w14:textId="22B7A232" w:rsidR="00226438" w:rsidRDefault="00226438">
    <w:pPr>
      <w:pStyle w:val="Footer"/>
      <w:rPr>
        <w:sz w:val="16"/>
      </w:rPr>
    </w:pPr>
    <w:r>
      <w:rPr>
        <w:sz w:val="16"/>
      </w:rPr>
      <w:t>LPA-514</w:t>
    </w:r>
  </w:p>
  <w:p w14:paraId="1868B7E4" w14:textId="727216F3" w:rsidR="00226438" w:rsidRDefault="00226438">
    <w:pPr>
      <w:pStyle w:val="Footer"/>
    </w:pPr>
    <w:r>
      <w:rPr>
        <w:sz w:val="16"/>
      </w:rPr>
      <w:t xml:space="preserve">Rev. </w:t>
    </w:r>
    <w:r w:rsidR="0073215A">
      <w:rPr>
        <w:sz w:val="16"/>
      </w:rPr>
      <w:t>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1226" w14:textId="77777777" w:rsidR="00134F78" w:rsidRDefault="00134F78">
      <w:r>
        <w:separator/>
      </w:r>
    </w:p>
  </w:footnote>
  <w:footnote w:type="continuationSeparator" w:id="0">
    <w:p w14:paraId="4654BFF1" w14:textId="77777777" w:rsidR="00134F78" w:rsidRDefault="00134F78">
      <w:r>
        <w:continuationSeparator/>
      </w:r>
    </w:p>
  </w:footnote>
  <w:footnote w:type="continuationNotice" w:id="1">
    <w:p w14:paraId="0B1F5FE0" w14:textId="77777777" w:rsidR="00134F78" w:rsidRDefault="00134F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76FF9"/>
    <w:multiLevelType w:val="hybridMultilevel"/>
    <w:tmpl w:val="A4E8E6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FD547E"/>
    <w:multiLevelType w:val="hybridMultilevel"/>
    <w:tmpl w:val="412CB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BF1"/>
    <w:rsid w:val="00033DDA"/>
    <w:rsid w:val="00047D59"/>
    <w:rsid w:val="0007204F"/>
    <w:rsid w:val="000B1BCB"/>
    <w:rsid w:val="000C7326"/>
    <w:rsid w:val="000D08DF"/>
    <w:rsid w:val="000D580E"/>
    <w:rsid w:val="00117F5A"/>
    <w:rsid w:val="00134F78"/>
    <w:rsid w:val="00147E4A"/>
    <w:rsid w:val="0017631C"/>
    <w:rsid w:val="00195E0D"/>
    <w:rsid w:val="001967B2"/>
    <w:rsid w:val="001C103D"/>
    <w:rsid w:val="001C5CAC"/>
    <w:rsid w:val="001D6A60"/>
    <w:rsid w:val="00200407"/>
    <w:rsid w:val="00226438"/>
    <w:rsid w:val="00243536"/>
    <w:rsid w:val="002437F0"/>
    <w:rsid w:val="00244A36"/>
    <w:rsid w:val="0028332B"/>
    <w:rsid w:val="002C3AFE"/>
    <w:rsid w:val="002E5E61"/>
    <w:rsid w:val="00305409"/>
    <w:rsid w:val="00360171"/>
    <w:rsid w:val="00366404"/>
    <w:rsid w:val="00381957"/>
    <w:rsid w:val="003A2EF8"/>
    <w:rsid w:val="003C3136"/>
    <w:rsid w:val="003C6B61"/>
    <w:rsid w:val="003E22D9"/>
    <w:rsid w:val="003F188F"/>
    <w:rsid w:val="003F2171"/>
    <w:rsid w:val="00435E99"/>
    <w:rsid w:val="0044252D"/>
    <w:rsid w:val="0046100A"/>
    <w:rsid w:val="00474EE9"/>
    <w:rsid w:val="00475EBB"/>
    <w:rsid w:val="00482F2F"/>
    <w:rsid w:val="004A207E"/>
    <w:rsid w:val="004A45E7"/>
    <w:rsid w:val="004A5F99"/>
    <w:rsid w:val="004E5AF9"/>
    <w:rsid w:val="005056F2"/>
    <w:rsid w:val="0057109A"/>
    <w:rsid w:val="00571DE8"/>
    <w:rsid w:val="00597FBF"/>
    <w:rsid w:val="005B258B"/>
    <w:rsid w:val="005D3516"/>
    <w:rsid w:val="005D400C"/>
    <w:rsid w:val="005D4D8E"/>
    <w:rsid w:val="005F0C7A"/>
    <w:rsid w:val="005F5FE8"/>
    <w:rsid w:val="00625969"/>
    <w:rsid w:val="00704929"/>
    <w:rsid w:val="007107BE"/>
    <w:rsid w:val="00715A5D"/>
    <w:rsid w:val="0073215A"/>
    <w:rsid w:val="00770892"/>
    <w:rsid w:val="00773F73"/>
    <w:rsid w:val="007A7C0B"/>
    <w:rsid w:val="007F1712"/>
    <w:rsid w:val="007F3114"/>
    <w:rsid w:val="008373CC"/>
    <w:rsid w:val="00872107"/>
    <w:rsid w:val="00874A41"/>
    <w:rsid w:val="0087743B"/>
    <w:rsid w:val="008C567A"/>
    <w:rsid w:val="008C7BF1"/>
    <w:rsid w:val="00905212"/>
    <w:rsid w:val="00916C6C"/>
    <w:rsid w:val="00924153"/>
    <w:rsid w:val="009266F4"/>
    <w:rsid w:val="00947C76"/>
    <w:rsid w:val="0096226B"/>
    <w:rsid w:val="009B400F"/>
    <w:rsid w:val="00A403C9"/>
    <w:rsid w:val="00A53556"/>
    <w:rsid w:val="00A64EA6"/>
    <w:rsid w:val="00A83942"/>
    <w:rsid w:val="00AA2AE2"/>
    <w:rsid w:val="00AB75FE"/>
    <w:rsid w:val="00AC48CE"/>
    <w:rsid w:val="00AE7AD1"/>
    <w:rsid w:val="00AF62B9"/>
    <w:rsid w:val="00B04873"/>
    <w:rsid w:val="00B05F35"/>
    <w:rsid w:val="00B235FC"/>
    <w:rsid w:val="00B32291"/>
    <w:rsid w:val="00B37BC7"/>
    <w:rsid w:val="00B55753"/>
    <w:rsid w:val="00B752DA"/>
    <w:rsid w:val="00B95822"/>
    <w:rsid w:val="00C048A5"/>
    <w:rsid w:val="00C07A33"/>
    <w:rsid w:val="00C15545"/>
    <w:rsid w:val="00C206DA"/>
    <w:rsid w:val="00C67640"/>
    <w:rsid w:val="00C713F9"/>
    <w:rsid w:val="00C71B22"/>
    <w:rsid w:val="00CA245E"/>
    <w:rsid w:val="00CA74EC"/>
    <w:rsid w:val="00CE4BE1"/>
    <w:rsid w:val="00D02681"/>
    <w:rsid w:val="00D17212"/>
    <w:rsid w:val="00D2000A"/>
    <w:rsid w:val="00D21A99"/>
    <w:rsid w:val="00D332BF"/>
    <w:rsid w:val="00D578A4"/>
    <w:rsid w:val="00DD0DD4"/>
    <w:rsid w:val="00DF065A"/>
    <w:rsid w:val="00E42D80"/>
    <w:rsid w:val="00E56AE7"/>
    <w:rsid w:val="00EA2C47"/>
    <w:rsid w:val="00EC133B"/>
    <w:rsid w:val="00EC7BAF"/>
    <w:rsid w:val="00EE43A3"/>
    <w:rsid w:val="00F019E3"/>
    <w:rsid w:val="00F23DE6"/>
    <w:rsid w:val="00F249C6"/>
    <w:rsid w:val="00F26D3A"/>
    <w:rsid w:val="00F40472"/>
    <w:rsid w:val="00F47325"/>
    <w:rsid w:val="00F54951"/>
    <w:rsid w:val="00F56068"/>
    <w:rsid w:val="00F57A1C"/>
    <w:rsid w:val="00F72180"/>
    <w:rsid w:val="00F91E2F"/>
    <w:rsid w:val="00F91EA2"/>
    <w:rsid w:val="00FC1F49"/>
    <w:rsid w:val="00FD4BC0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868B6C9"/>
  <w15:docId w15:val="{AA3E2C16-59F9-4653-ABFC-ED62DA77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8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8D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D08DF"/>
    <w:rPr>
      <w:i/>
      <w:iCs/>
    </w:rPr>
  </w:style>
  <w:style w:type="paragraph" w:styleId="BodyTextIndent">
    <w:name w:val="Body Text Indent"/>
    <w:basedOn w:val="Normal"/>
    <w:rsid w:val="000D08DF"/>
    <w:pPr>
      <w:ind w:left="1122" w:hanging="748"/>
    </w:pPr>
  </w:style>
  <w:style w:type="paragraph" w:styleId="BodyTextIndent2">
    <w:name w:val="Body Text Indent 2"/>
    <w:basedOn w:val="Normal"/>
    <w:rsid w:val="000D08DF"/>
    <w:pPr>
      <w:ind w:left="1122" w:hanging="776"/>
    </w:pPr>
  </w:style>
  <w:style w:type="paragraph" w:styleId="Footer">
    <w:name w:val="footer"/>
    <w:basedOn w:val="Normal"/>
    <w:rsid w:val="000D08D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C7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F2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217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F217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F5F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03C3E-36F0-4803-B5CD-8BE020E23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5F3F07-0633-49C8-BBCF-B8742AB08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CA833-91FA-4E0D-80B5-B0B7E4B1245E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1578C25-D601-47D8-ACA0-E684081C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514 Incedental Purchase Expenses</vt:lpstr>
    </vt:vector>
  </TitlesOfParts>
  <Company>WSDOT Local Programs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514 Incedental Purchase Expenses</dc:title>
  <dc:subject>Incedental Purchase Expenses</dc:subject>
  <dc:creator>WSDOT Local Programs ROW</dc:creator>
  <cp:keywords>LPA 514  Incedental Purchase Expenses</cp:keywords>
  <cp:lastModifiedBy>Newlean, Michelle</cp:lastModifiedBy>
  <cp:revision>15</cp:revision>
  <cp:lastPrinted>2016-06-01T15:58:00Z</cp:lastPrinted>
  <dcterms:created xsi:type="dcterms:W3CDTF">2019-05-16T21:42:00Z</dcterms:created>
  <dcterms:modified xsi:type="dcterms:W3CDTF">2022-02-10T17:40:00Z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